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0" w:type="dxa"/>
        <w:tblLook w:val="04A0" w:firstRow="1" w:lastRow="0" w:firstColumn="1" w:lastColumn="0" w:noHBand="0" w:noVBand="1"/>
      </w:tblPr>
      <w:tblGrid>
        <w:gridCol w:w="2830"/>
        <w:gridCol w:w="7230"/>
      </w:tblGrid>
      <w:tr w:rsidR="00693195" w:rsidRPr="0006315B" w14:paraId="57CF847A" w14:textId="77777777" w:rsidTr="00693195">
        <w:trPr>
          <w:trHeight w:val="1275"/>
        </w:trPr>
        <w:tc>
          <w:tcPr>
            <w:tcW w:w="2830" w:type="dxa"/>
          </w:tcPr>
          <w:p w14:paraId="76597442" w14:textId="77777777" w:rsidR="00693195" w:rsidRPr="0006315B" w:rsidRDefault="00693195">
            <w:pPr>
              <w:rPr>
                <w:rFonts w:ascii="Times New Roman" w:hAnsi="Times New Roman" w:cs="Times New Roman"/>
                <w:sz w:val="24"/>
                <w:szCs w:val="24"/>
              </w:rPr>
            </w:pPr>
            <w:r w:rsidRPr="0006315B">
              <w:rPr>
                <w:rFonts w:ascii="Times New Roman" w:hAnsi="Times New Roman" w:cs="Times New Roman"/>
                <w:noProof/>
                <w:sz w:val="24"/>
                <w:szCs w:val="24"/>
                <w:lang w:eastAsia="es-CO"/>
              </w:rPr>
              <w:drawing>
                <wp:anchor distT="0" distB="0" distL="114300" distR="114300" simplePos="0" relativeHeight="251658240" behindDoc="1" locked="0" layoutInCell="1" allowOverlap="1" wp14:anchorId="7243F6D0" wp14:editId="34607D41">
                  <wp:simplePos x="0" y="0"/>
                  <wp:positionH relativeFrom="column">
                    <wp:posOffset>233045</wp:posOffset>
                  </wp:positionH>
                  <wp:positionV relativeFrom="paragraph">
                    <wp:posOffset>69850</wp:posOffset>
                  </wp:positionV>
                  <wp:extent cx="1171575" cy="599440"/>
                  <wp:effectExtent l="0" t="0" r="9525" b="0"/>
                  <wp:wrapThrough wrapText="bothSides">
                    <wp:wrapPolygon edited="0">
                      <wp:start x="19317" y="0"/>
                      <wp:lineTo x="17912" y="686"/>
                      <wp:lineTo x="0" y="10297"/>
                      <wp:lineTo x="0" y="18534"/>
                      <wp:lineTo x="19317" y="20593"/>
                      <wp:lineTo x="21424" y="20593"/>
                      <wp:lineTo x="21073" y="0"/>
                      <wp:lineTo x="19317"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bogot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1575" cy="599440"/>
                          </a:xfrm>
                          <a:prstGeom prst="rect">
                            <a:avLst/>
                          </a:prstGeom>
                        </pic:spPr>
                      </pic:pic>
                    </a:graphicData>
                  </a:graphic>
                  <wp14:sizeRelH relativeFrom="margin">
                    <wp14:pctWidth>0</wp14:pctWidth>
                  </wp14:sizeRelH>
                  <wp14:sizeRelV relativeFrom="margin">
                    <wp14:pctHeight>0</wp14:pctHeight>
                  </wp14:sizeRelV>
                </wp:anchor>
              </w:drawing>
            </w:r>
          </w:p>
        </w:tc>
        <w:tc>
          <w:tcPr>
            <w:tcW w:w="7230" w:type="dxa"/>
            <w:vAlign w:val="center"/>
          </w:tcPr>
          <w:p w14:paraId="60CDF226" w14:textId="77777777" w:rsidR="00693195" w:rsidRPr="0006315B" w:rsidRDefault="00693195" w:rsidP="00693195">
            <w:pPr>
              <w:jc w:val="center"/>
              <w:rPr>
                <w:rFonts w:ascii="Times New Roman" w:hAnsi="Times New Roman" w:cs="Times New Roman"/>
                <w:b/>
                <w:sz w:val="24"/>
                <w:szCs w:val="24"/>
              </w:rPr>
            </w:pPr>
            <w:r w:rsidRPr="0006315B">
              <w:rPr>
                <w:rFonts w:ascii="Times New Roman" w:hAnsi="Times New Roman" w:cs="Times New Roman"/>
                <w:b/>
                <w:sz w:val="24"/>
                <w:szCs w:val="24"/>
              </w:rPr>
              <w:t>FORMATO DE EXPOSICIÓN DE MOTIVOS</w:t>
            </w:r>
          </w:p>
        </w:tc>
      </w:tr>
    </w:tbl>
    <w:p w14:paraId="4F1A3302" w14:textId="77777777" w:rsidR="00147738" w:rsidRPr="0006315B" w:rsidRDefault="00147738">
      <w:pP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2972"/>
        <w:gridCol w:w="7098"/>
      </w:tblGrid>
      <w:tr w:rsidR="00693195" w:rsidRPr="0006315B" w14:paraId="688F5077" w14:textId="77777777" w:rsidTr="00693195">
        <w:tc>
          <w:tcPr>
            <w:tcW w:w="2972" w:type="dxa"/>
            <w:vAlign w:val="center"/>
          </w:tcPr>
          <w:p w14:paraId="3B23A2C7" w14:textId="77777777" w:rsidR="00693195" w:rsidRPr="0006315B" w:rsidRDefault="00693195">
            <w:pPr>
              <w:rPr>
                <w:rFonts w:ascii="Times New Roman" w:hAnsi="Times New Roman" w:cs="Times New Roman"/>
                <w:b/>
                <w:sz w:val="24"/>
                <w:szCs w:val="24"/>
              </w:rPr>
            </w:pPr>
            <w:r w:rsidRPr="0006315B">
              <w:rPr>
                <w:rFonts w:ascii="Times New Roman" w:hAnsi="Times New Roman" w:cs="Times New Roman"/>
                <w:b/>
                <w:sz w:val="24"/>
                <w:szCs w:val="24"/>
              </w:rPr>
              <w:t>Entidad reguladora</w:t>
            </w:r>
          </w:p>
        </w:tc>
        <w:tc>
          <w:tcPr>
            <w:tcW w:w="7098" w:type="dxa"/>
            <w:vAlign w:val="center"/>
          </w:tcPr>
          <w:p w14:paraId="2506673A" w14:textId="77777777" w:rsidR="00693195" w:rsidRDefault="005F4CB0">
            <w:pPr>
              <w:rPr>
                <w:rFonts w:ascii="Times New Roman" w:hAnsi="Times New Roman" w:cs="Times New Roman"/>
                <w:i/>
                <w:color w:val="000000" w:themeColor="text1"/>
                <w:sz w:val="24"/>
                <w:szCs w:val="24"/>
              </w:rPr>
            </w:pPr>
            <w:r w:rsidRPr="005F4CB0">
              <w:rPr>
                <w:rFonts w:ascii="Times New Roman" w:hAnsi="Times New Roman" w:cs="Times New Roman"/>
                <w:i/>
                <w:color w:val="000000" w:themeColor="text1"/>
                <w:sz w:val="24"/>
                <w:szCs w:val="24"/>
              </w:rPr>
              <w:t>Secretaría Distrital de Salud</w:t>
            </w:r>
            <w:r>
              <w:rPr>
                <w:rFonts w:ascii="Times New Roman" w:hAnsi="Times New Roman" w:cs="Times New Roman"/>
                <w:i/>
                <w:color w:val="000000" w:themeColor="text1"/>
                <w:sz w:val="24"/>
                <w:szCs w:val="24"/>
              </w:rPr>
              <w:t xml:space="preserve"> </w:t>
            </w:r>
          </w:p>
          <w:p w14:paraId="612877F8" w14:textId="472531E9" w:rsidR="0087790D" w:rsidRPr="000F4E02" w:rsidRDefault="0087790D">
            <w:pPr>
              <w:rPr>
                <w:rFonts w:ascii="Times New Roman" w:hAnsi="Times New Roman" w:cs="Times New Roman"/>
                <w:i/>
                <w:color w:val="000000" w:themeColor="text1"/>
                <w:sz w:val="24"/>
                <w:szCs w:val="24"/>
              </w:rPr>
            </w:pPr>
          </w:p>
        </w:tc>
      </w:tr>
      <w:tr w:rsidR="00693195" w:rsidRPr="0006315B" w14:paraId="60E27DB7" w14:textId="77777777" w:rsidTr="00693195">
        <w:tc>
          <w:tcPr>
            <w:tcW w:w="2972" w:type="dxa"/>
            <w:vAlign w:val="center"/>
          </w:tcPr>
          <w:p w14:paraId="5D0ECA3B" w14:textId="6992A63F" w:rsidR="00693195" w:rsidRPr="0006315B" w:rsidRDefault="00E141C1">
            <w:pPr>
              <w:rPr>
                <w:rFonts w:ascii="Times New Roman" w:hAnsi="Times New Roman" w:cs="Times New Roman"/>
                <w:b/>
                <w:sz w:val="24"/>
                <w:szCs w:val="24"/>
              </w:rPr>
            </w:pPr>
            <w:r>
              <w:rPr>
                <w:rFonts w:ascii="Times New Roman" w:hAnsi="Times New Roman" w:cs="Times New Roman"/>
                <w:b/>
                <w:sz w:val="24"/>
                <w:szCs w:val="24"/>
              </w:rPr>
              <w:t xml:space="preserve">Fecha </w:t>
            </w:r>
            <w:r w:rsidR="00687351">
              <w:rPr>
                <w:rFonts w:ascii="Times New Roman" w:hAnsi="Times New Roman" w:cs="Times New Roman"/>
                <w:b/>
                <w:sz w:val="24"/>
                <w:szCs w:val="24"/>
              </w:rPr>
              <w:t>de presentación</w:t>
            </w:r>
          </w:p>
        </w:tc>
        <w:tc>
          <w:tcPr>
            <w:tcW w:w="7098" w:type="dxa"/>
            <w:vAlign w:val="center"/>
          </w:tcPr>
          <w:p w14:paraId="486B8A82" w14:textId="77777777" w:rsidR="00693195" w:rsidRDefault="0087790D" w:rsidP="0071131C">
            <w:pPr>
              <w:rPr>
                <w:rFonts w:ascii="Times New Roman" w:hAnsi="Times New Roman" w:cs="Times New Roman"/>
                <w:i/>
                <w:color w:val="808080" w:themeColor="background1" w:themeShade="80"/>
                <w:sz w:val="24"/>
                <w:szCs w:val="24"/>
              </w:rPr>
            </w:pPr>
            <w:r w:rsidRPr="0087790D">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4</w:t>
            </w:r>
            <w:r w:rsidRPr="0087790D">
              <w:rPr>
                <w:rFonts w:ascii="Times New Roman" w:hAnsi="Times New Roman" w:cs="Times New Roman"/>
                <w:i/>
                <w:color w:val="000000" w:themeColor="text1"/>
                <w:sz w:val="24"/>
                <w:szCs w:val="24"/>
              </w:rPr>
              <w:t>/06/2026</w:t>
            </w:r>
            <w:r w:rsidR="008A1B07" w:rsidRPr="00AC2260">
              <w:rPr>
                <w:rFonts w:ascii="Times New Roman" w:hAnsi="Times New Roman" w:cs="Times New Roman"/>
                <w:i/>
                <w:color w:val="808080" w:themeColor="background1" w:themeShade="80"/>
                <w:sz w:val="24"/>
                <w:szCs w:val="24"/>
              </w:rPr>
              <w:t xml:space="preserve"> </w:t>
            </w:r>
          </w:p>
          <w:p w14:paraId="1B7133F2" w14:textId="7C97C626" w:rsidR="0087790D" w:rsidRPr="000F4E02" w:rsidRDefault="0087790D" w:rsidP="0071131C">
            <w:pPr>
              <w:rPr>
                <w:rFonts w:ascii="Times New Roman" w:hAnsi="Times New Roman" w:cs="Times New Roman"/>
                <w:i/>
                <w:color w:val="000000" w:themeColor="text1"/>
                <w:sz w:val="24"/>
                <w:szCs w:val="24"/>
              </w:rPr>
            </w:pPr>
          </w:p>
        </w:tc>
      </w:tr>
      <w:tr w:rsidR="00687351" w:rsidRPr="0006315B" w14:paraId="1CB3DEA3" w14:textId="77777777" w:rsidTr="00693195">
        <w:tc>
          <w:tcPr>
            <w:tcW w:w="2972" w:type="dxa"/>
            <w:vAlign w:val="center"/>
          </w:tcPr>
          <w:p w14:paraId="4DD5E006" w14:textId="3BBD1D6F" w:rsidR="00687351" w:rsidRDefault="00687351" w:rsidP="00687351">
            <w:pPr>
              <w:rPr>
                <w:rFonts w:ascii="Times New Roman" w:hAnsi="Times New Roman" w:cs="Times New Roman"/>
                <w:b/>
                <w:sz w:val="24"/>
                <w:szCs w:val="24"/>
              </w:rPr>
            </w:pPr>
            <w:r>
              <w:rPr>
                <w:rFonts w:ascii="Times New Roman" w:hAnsi="Times New Roman" w:cs="Times New Roman"/>
                <w:b/>
                <w:sz w:val="24"/>
                <w:szCs w:val="24"/>
              </w:rPr>
              <w:t>Tipo de acto administrativo</w:t>
            </w:r>
          </w:p>
        </w:tc>
        <w:tc>
          <w:tcPr>
            <w:tcW w:w="7098" w:type="dxa"/>
            <w:vAlign w:val="center"/>
          </w:tcPr>
          <w:p w14:paraId="21001F0C" w14:textId="3590BE09" w:rsidR="00687351" w:rsidRPr="000F4E02" w:rsidRDefault="005F4CB0" w:rsidP="00687351">
            <w:pP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Resolución Conjunta</w:t>
            </w:r>
            <w:r w:rsidR="00687351" w:rsidRPr="000F4E02">
              <w:rPr>
                <w:rFonts w:ascii="Times New Roman" w:hAnsi="Times New Roman" w:cs="Times New Roman"/>
                <w:i/>
                <w:color w:val="000000" w:themeColor="text1"/>
                <w:sz w:val="24"/>
                <w:szCs w:val="24"/>
              </w:rPr>
              <w:t xml:space="preserve"> </w:t>
            </w:r>
          </w:p>
        </w:tc>
      </w:tr>
      <w:tr w:rsidR="00687351" w:rsidRPr="0006315B" w14:paraId="6C1501BA" w14:textId="77777777" w:rsidTr="00693195">
        <w:tc>
          <w:tcPr>
            <w:tcW w:w="2972" w:type="dxa"/>
            <w:vAlign w:val="center"/>
          </w:tcPr>
          <w:p w14:paraId="6BFDB529" w14:textId="129343B3" w:rsidR="00687351" w:rsidRPr="0006315B" w:rsidRDefault="00687351" w:rsidP="00687351">
            <w:pPr>
              <w:rPr>
                <w:rFonts w:ascii="Times New Roman" w:hAnsi="Times New Roman" w:cs="Times New Roman"/>
                <w:b/>
                <w:sz w:val="24"/>
                <w:szCs w:val="24"/>
              </w:rPr>
            </w:pPr>
            <w:r>
              <w:rPr>
                <w:rFonts w:ascii="Times New Roman" w:hAnsi="Times New Roman" w:cs="Times New Roman"/>
                <w:b/>
                <w:sz w:val="24"/>
                <w:szCs w:val="24"/>
              </w:rPr>
              <w:t>Epígrafe</w:t>
            </w:r>
          </w:p>
        </w:tc>
        <w:tc>
          <w:tcPr>
            <w:tcW w:w="7098" w:type="dxa"/>
            <w:vAlign w:val="center"/>
          </w:tcPr>
          <w:p w14:paraId="796D3378" w14:textId="77777777" w:rsidR="00687351" w:rsidRDefault="005F4CB0" w:rsidP="00687351">
            <w:pPr>
              <w:rPr>
                <w:rFonts w:ascii="Times New Roman" w:hAnsi="Times New Roman" w:cs="Times New Roman"/>
                <w:iCs/>
                <w:color w:val="000000" w:themeColor="text1"/>
                <w:sz w:val="24"/>
                <w:szCs w:val="24"/>
              </w:rPr>
            </w:pPr>
            <w:r w:rsidRPr="00CB38B6">
              <w:rPr>
                <w:rFonts w:ascii="Times New Roman" w:hAnsi="Times New Roman" w:cs="Times New Roman"/>
                <w:iCs/>
                <w:color w:val="000000" w:themeColor="text1"/>
                <w:sz w:val="24"/>
                <w:szCs w:val="24"/>
              </w:rPr>
              <w:t xml:space="preserve">“Por medio de la cual se deroga la Resolución Conjunta 182-230 del 1 de marzo de 2013 suscrita entre la Secretaría Distrital de Salud y la Secretaría Distrital de Integración Social” </w:t>
            </w:r>
          </w:p>
          <w:p w14:paraId="7F1BE45F" w14:textId="4CAAF33A" w:rsidR="0087790D" w:rsidRPr="00CB38B6" w:rsidRDefault="0087790D" w:rsidP="00687351">
            <w:pPr>
              <w:rPr>
                <w:rFonts w:ascii="Times New Roman" w:hAnsi="Times New Roman" w:cs="Times New Roman"/>
                <w:iCs/>
                <w:color w:val="000000" w:themeColor="text1"/>
                <w:sz w:val="24"/>
                <w:szCs w:val="24"/>
              </w:rPr>
            </w:pPr>
          </w:p>
        </w:tc>
      </w:tr>
      <w:tr w:rsidR="008A1B07" w:rsidRPr="0006315B" w14:paraId="420383AA" w14:textId="77777777" w:rsidTr="00693195">
        <w:tc>
          <w:tcPr>
            <w:tcW w:w="2972" w:type="dxa"/>
            <w:vAlign w:val="center"/>
          </w:tcPr>
          <w:p w14:paraId="5646086F" w14:textId="25D6B1B3" w:rsidR="008A1B07" w:rsidRDefault="008A1B07" w:rsidP="00687351">
            <w:pPr>
              <w:rPr>
                <w:rFonts w:ascii="Times New Roman" w:hAnsi="Times New Roman" w:cs="Times New Roman"/>
                <w:b/>
                <w:sz w:val="24"/>
                <w:szCs w:val="24"/>
              </w:rPr>
            </w:pPr>
            <w:r>
              <w:rPr>
                <w:rFonts w:ascii="Times New Roman" w:hAnsi="Times New Roman" w:cs="Times New Roman"/>
                <w:b/>
                <w:sz w:val="24"/>
                <w:szCs w:val="24"/>
              </w:rPr>
              <w:t>Autoridad que lo suscribe</w:t>
            </w:r>
          </w:p>
        </w:tc>
        <w:tc>
          <w:tcPr>
            <w:tcW w:w="7098" w:type="dxa"/>
            <w:vAlign w:val="center"/>
          </w:tcPr>
          <w:p w14:paraId="0B9706E6" w14:textId="77777777" w:rsidR="008A1B07" w:rsidRDefault="005F4CB0" w:rsidP="00687351">
            <w:pP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Secretaría Distrital de Salud</w:t>
            </w:r>
            <w:r w:rsidR="008A1B07" w:rsidRPr="000F4E02">
              <w:rPr>
                <w:rFonts w:ascii="Times New Roman" w:hAnsi="Times New Roman" w:cs="Times New Roman"/>
                <w:i/>
                <w:color w:val="000000" w:themeColor="text1"/>
                <w:sz w:val="24"/>
                <w:szCs w:val="24"/>
              </w:rPr>
              <w:t xml:space="preserve"> </w:t>
            </w:r>
          </w:p>
          <w:p w14:paraId="0FB10DB1" w14:textId="77777777" w:rsidR="005F4CB0" w:rsidRDefault="005F4CB0" w:rsidP="00687351">
            <w:pP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Secretaría Distrital de Integración Social</w:t>
            </w:r>
          </w:p>
          <w:p w14:paraId="57BE7E63" w14:textId="33B01712" w:rsidR="0087790D" w:rsidRPr="000F4E02" w:rsidRDefault="0087790D" w:rsidP="00687351">
            <w:pPr>
              <w:rPr>
                <w:rFonts w:ascii="Times New Roman" w:hAnsi="Times New Roman" w:cs="Times New Roman"/>
                <w:i/>
                <w:color w:val="000000" w:themeColor="text1"/>
                <w:sz w:val="24"/>
                <w:szCs w:val="24"/>
              </w:rPr>
            </w:pPr>
          </w:p>
        </w:tc>
      </w:tr>
    </w:tbl>
    <w:p w14:paraId="7CF02817" w14:textId="77777777" w:rsidR="00693195" w:rsidRPr="0006315B" w:rsidRDefault="00693195">
      <w:pP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10070"/>
      </w:tblGrid>
      <w:tr w:rsidR="003A7E0E" w:rsidRPr="0006315B" w14:paraId="1D252876" w14:textId="77777777" w:rsidTr="003A7E0E">
        <w:tc>
          <w:tcPr>
            <w:tcW w:w="10070" w:type="dxa"/>
          </w:tcPr>
          <w:p w14:paraId="243EED5F" w14:textId="39D532C3" w:rsidR="003A7E0E" w:rsidRPr="0006315B" w:rsidRDefault="003A7E0E" w:rsidP="00F70D76">
            <w:pPr>
              <w:jc w:val="center"/>
              <w:rPr>
                <w:rFonts w:ascii="Times New Roman" w:hAnsi="Times New Roman" w:cs="Times New Roman"/>
                <w:b/>
                <w:sz w:val="24"/>
                <w:szCs w:val="24"/>
              </w:rPr>
            </w:pPr>
            <w:r w:rsidRPr="0006315B">
              <w:rPr>
                <w:rFonts w:ascii="Times New Roman" w:hAnsi="Times New Roman" w:cs="Times New Roman"/>
                <w:b/>
                <w:sz w:val="24"/>
                <w:szCs w:val="24"/>
              </w:rPr>
              <w:t>AN</w:t>
            </w:r>
            <w:r w:rsidR="0051447B">
              <w:rPr>
                <w:rFonts w:ascii="Times New Roman" w:hAnsi="Times New Roman" w:cs="Times New Roman"/>
                <w:b/>
                <w:sz w:val="24"/>
                <w:szCs w:val="24"/>
              </w:rPr>
              <w:t>Á</w:t>
            </w:r>
            <w:r w:rsidRPr="0006315B">
              <w:rPr>
                <w:rFonts w:ascii="Times New Roman" w:hAnsi="Times New Roman" w:cs="Times New Roman"/>
                <w:b/>
                <w:sz w:val="24"/>
                <w:szCs w:val="24"/>
              </w:rPr>
              <w:t>LISIS</w:t>
            </w:r>
            <w:r w:rsidR="00F70D76" w:rsidRPr="0006315B">
              <w:rPr>
                <w:rFonts w:ascii="Times New Roman" w:hAnsi="Times New Roman" w:cs="Times New Roman"/>
                <w:b/>
                <w:sz w:val="24"/>
                <w:szCs w:val="24"/>
              </w:rPr>
              <w:t xml:space="preserve"> T</w:t>
            </w:r>
            <w:r w:rsidR="00E0130E">
              <w:rPr>
                <w:rFonts w:ascii="Times New Roman" w:hAnsi="Times New Roman" w:cs="Times New Roman"/>
                <w:b/>
                <w:sz w:val="24"/>
                <w:szCs w:val="24"/>
              </w:rPr>
              <w:t>É</w:t>
            </w:r>
            <w:r w:rsidR="00F70D76" w:rsidRPr="0006315B">
              <w:rPr>
                <w:rFonts w:ascii="Times New Roman" w:hAnsi="Times New Roman" w:cs="Times New Roman"/>
                <w:b/>
                <w:sz w:val="24"/>
                <w:szCs w:val="24"/>
              </w:rPr>
              <w:t xml:space="preserve">CNICO Y DE CONVENIENCIA PARA LA EXPEDICIÓN DEL PROYECTO DE REGULACIÓN </w:t>
            </w:r>
          </w:p>
        </w:tc>
      </w:tr>
      <w:tr w:rsidR="003A7E0E" w:rsidRPr="0006315B" w14:paraId="20D41E99" w14:textId="77777777" w:rsidTr="003A7E0E">
        <w:tc>
          <w:tcPr>
            <w:tcW w:w="10070" w:type="dxa"/>
          </w:tcPr>
          <w:p w14:paraId="5A143FE9"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El análisis del marco normativo aplicable a la atención y protección integral de las personas mayores en el distrito Capital evidencia la necesidad de adecuar el ordenamiento jurídico distrital a las disposiciones legales y reglamentarias vigentes, en particular en lo relacionado con la distribución de competencias en materia de autorización de funcionamiento, inspección, vigilancia y control de las instituciones que prestan estos servicios.</w:t>
            </w:r>
          </w:p>
          <w:p w14:paraId="55E4BCC3" w14:textId="77777777" w:rsidR="00AC2260" w:rsidRPr="00AC2260" w:rsidRDefault="00AC2260" w:rsidP="00AC2260">
            <w:pPr>
              <w:jc w:val="both"/>
              <w:rPr>
                <w:rFonts w:ascii="Times New Roman" w:hAnsi="Times New Roman" w:cs="Times New Roman"/>
                <w:i/>
                <w:sz w:val="24"/>
                <w:szCs w:val="24"/>
              </w:rPr>
            </w:pPr>
          </w:p>
          <w:p w14:paraId="432A6CFE"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El primer lugar, el sustento constitucional de la intervención estatal en esta materia se encuentra en los artículos 46 y 49 de la Constitución política, los cuales establecen, respectivamente, el deber del Estado de garantizar la protección y asistencia de las personas mayores, así como la responsabilidad de organizar, dirigir y reglamentar la prestación de los servicios de salud, incluyendo el ejercicio de funciones de inspección, vigilancia y control. </w:t>
            </w:r>
          </w:p>
          <w:p w14:paraId="4DA4122E" w14:textId="77777777" w:rsidR="00AC2260" w:rsidRPr="00AC2260" w:rsidRDefault="00AC2260" w:rsidP="00AC2260">
            <w:pPr>
              <w:jc w:val="both"/>
              <w:rPr>
                <w:rFonts w:ascii="Times New Roman" w:hAnsi="Times New Roman" w:cs="Times New Roman"/>
                <w:i/>
                <w:sz w:val="24"/>
                <w:szCs w:val="24"/>
              </w:rPr>
            </w:pPr>
          </w:p>
          <w:p w14:paraId="2A5A5A9C"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En desarrollo de estos mandatos, la Ley 1251 de 2008 definió el marco general para la protección de los derechos de las personas mayores, estableciendo requisitos para el funcionamiento de las instituciones que prestan servicios de atención integral a esta población. Posteriormente, la Ley 1315 de 2009 precisó las condiciones mínimas que deben cumplir los centros de protección social, centros día e instituciones de atención, asigno de manera expresa a las Secretarías de Salud del orden territorial la competencia para autorizar su funcionamiento, así como para ejercer las funciones de inspección, vigilancia y control. Así mismo, dicha Ley atribuyó al Ministerio de Salud y Protección Social la facultad de definir los lineamientos técnicos aplicables a estas instituciones. </w:t>
            </w:r>
          </w:p>
          <w:p w14:paraId="6752DBBA" w14:textId="77777777" w:rsidR="00AC2260" w:rsidRPr="00AC2260" w:rsidRDefault="00AC2260" w:rsidP="00AC2260">
            <w:pPr>
              <w:jc w:val="both"/>
              <w:rPr>
                <w:rFonts w:ascii="Times New Roman" w:hAnsi="Times New Roman" w:cs="Times New Roman"/>
                <w:i/>
                <w:sz w:val="24"/>
                <w:szCs w:val="24"/>
              </w:rPr>
            </w:pPr>
          </w:p>
          <w:p w14:paraId="70C44C3A"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En este contexto normativo, la Secretaría Distrital de Salud y la Secretaría Distrital de Integración Social expidieron la Resolución Conjunta 182-230 del 1 de marzo de 2013, mediante la cual se adoptó </w:t>
            </w:r>
            <w:r w:rsidRPr="00AC2260">
              <w:rPr>
                <w:rFonts w:ascii="Times New Roman" w:hAnsi="Times New Roman" w:cs="Times New Roman"/>
                <w:i/>
                <w:sz w:val="24"/>
                <w:szCs w:val="24"/>
              </w:rPr>
              <w:lastRenderedPageBreak/>
              <w:t>un esquema de articulación intersectorial orientado a la participación conjunta de ambas entidades en la asesoría, la verificación de estándares de calidad y la expedición de la autorización de funcionamiento de las instituciones que prestan servicios de atención a personas mayores. No obstante, dicho esquema resulta actualmente desalineado con la distribución de competencias prevista en la Ley 1315 de 2009, en la medida en que configura un ejercicio concurrente de funciones que el legislador asignó de manera expresa a las autoridades sanitarias territoriales, particularmente en lo relacionado con la autorización de funcionamiento y el ejercicio de las funciones de inspección, vigilancia y control.</w:t>
            </w:r>
          </w:p>
          <w:p w14:paraId="35AD4F39" w14:textId="77777777" w:rsidR="00AC2260" w:rsidRPr="00AC2260" w:rsidRDefault="00AC2260" w:rsidP="00AC2260">
            <w:pPr>
              <w:jc w:val="both"/>
              <w:rPr>
                <w:rFonts w:ascii="Times New Roman" w:hAnsi="Times New Roman" w:cs="Times New Roman"/>
                <w:i/>
                <w:sz w:val="24"/>
                <w:szCs w:val="24"/>
              </w:rPr>
            </w:pPr>
          </w:p>
          <w:p w14:paraId="54C504D0"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Esta situación debe analizarse a la luz del principio de jerarquía normativa, conforme al cual las disposiciones de inferior rango deben ajustarse a lo establecido en normas de superior jerarquía. En consecuencia, cualquier regulación de carácter distrital debe respetar la distribución de competencias fijada por el legislador, sin introducir esquemas que alteren o desdibujen dicha asignación. </w:t>
            </w:r>
          </w:p>
          <w:p w14:paraId="255687DD" w14:textId="77777777" w:rsidR="00AC2260" w:rsidRPr="00AC2260" w:rsidRDefault="00AC2260" w:rsidP="00AC2260">
            <w:pPr>
              <w:jc w:val="both"/>
              <w:rPr>
                <w:rFonts w:ascii="Times New Roman" w:hAnsi="Times New Roman" w:cs="Times New Roman"/>
                <w:i/>
                <w:sz w:val="24"/>
                <w:szCs w:val="24"/>
              </w:rPr>
            </w:pPr>
          </w:p>
          <w:p w14:paraId="03A6FD22"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De igual forma, el desarrollo reglamentario del sector salud, particularmente a través del Decreto 780 de 2016, que compila el sistema Obligatorio de Garantía de Calidad de la Atención en Salud, y la Resolución 3100 de 2019, ha consolidado un marco técnico uniforme en el que las funciones de habilitación, verificación de condiciones de calidad e inspección, vigilancia y control se ejercen bajo la responsabilidad de las autoridades sanitarias. </w:t>
            </w:r>
          </w:p>
          <w:p w14:paraId="3849BEA5" w14:textId="77777777" w:rsidR="00AC2260" w:rsidRPr="00AC2260" w:rsidRDefault="00AC2260" w:rsidP="00AC2260">
            <w:pPr>
              <w:jc w:val="both"/>
              <w:rPr>
                <w:rFonts w:ascii="Times New Roman" w:hAnsi="Times New Roman" w:cs="Times New Roman"/>
                <w:i/>
                <w:sz w:val="24"/>
                <w:szCs w:val="24"/>
              </w:rPr>
            </w:pPr>
          </w:p>
          <w:p w14:paraId="002389C0"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En el ámbito distrital, el Acuerdo 257 de 2006 establece los principios de coordinación, concurrencia y especialización funcional en la organización administrativa, disponiendo que las entidades deben ejercer sus competencias de manera armónica, pero dentro de los límites de sus atribuciones. En desarrollo de este marco, el Decreto Distrital 641 de 2025 consolida a la Secretaría Distrital de Salud como organismo rector del sector salud, con funciones de dirección, coordinación, vigilancia y control en salud pública: Por su parte el Decreto 647 de 2025 define el objeto y funciones de la Secretaría Distrital de Integración Social, circunscribiéndolas a la formulación e implementación de políticas sociales, sin atribuirle competencias en materia de habilitación y control sanitario. </w:t>
            </w:r>
          </w:p>
          <w:p w14:paraId="6E683B00" w14:textId="77777777" w:rsidR="00AC2260" w:rsidRPr="00AC2260" w:rsidRDefault="00AC2260" w:rsidP="00AC2260">
            <w:pPr>
              <w:jc w:val="both"/>
              <w:rPr>
                <w:rFonts w:ascii="Times New Roman" w:hAnsi="Times New Roman" w:cs="Times New Roman"/>
                <w:i/>
                <w:sz w:val="24"/>
                <w:szCs w:val="24"/>
              </w:rPr>
            </w:pPr>
          </w:p>
          <w:p w14:paraId="2FAC6E4E"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Así mismo, debe considerarse que el sustento normativo original de la Resolución Conjunta 182-230 de 2013 incluía disposiciones organizacionales que han sido modificadas o derogadas, como es el caso del Decreto Distrital 122 de 2007, posteriormente sustituido y compilado en normas más recientes que redefinen la estructura y funciones de las entidades distritales. </w:t>
            </w:r>
          </w:p>
          <w:p w14:paraId="05107F94" w14:textId="77777777" w:rsidR="00AC2260" w:rsidRPr="00AC2260" w:rsidRDefault="00AC2260" w:rsidP="00AC2260">
            <w:pPr>
              <w:jc w:val="both"/>
              <w:rPr>
                <w:rFonts w:ascii="Times New Roman" w:hAnsi="Times New Roman" w:cs="Times New Roman"/>
                <w:i/>
                <w:sz w:val="24"/>
                <w:szCs w:val="24"/>
              </w:rPr>
            </w:pPr>
          </w:p>
          <w:p w14:paraId="64FB110D"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En este escenario, la permanencia de la Resolución Conjunta 182-230 de 2013 genera una desarticulación normativa, al coexistir con disposiciones legales y reglamentarias posteriores que han precisado la distribución de competencias y consolidado un modelo diferenciado de regulación y control Esta situación puede dar lugar a duplicidad de funciones, dispersión en la responsabilidad administrativa y posibles conflictos de competencia, afectando la eficiencia y coherencia de la función pública. </w:t>
            </w:r>
          </w:p>
          <w:p w14:paraId="0ECA1A15" w14:textId="77777777" w:rsidR="00AC2260" w:rsidRPr="00AC2260" w:rsidRDefault="00AC2260" w:rsidP="00AC2260">
            <w:pPr>
              <w:jc w:val="both"/>
              <w:rPr>
                <w:rFonts w:ascii="Times New Roman" w:hAnsi="Times New Roman" w:cs="Times New Roman"/>
                <w:i/>
                <w:sz w:val="24"/>
                <w:szCs w:val="24"/>
              </w:rPr>
            </w:pPr>
          </w:p>
          <w:p w14:paraId="7A5762DB"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Desde el punto de vista técnico, se configura una pérdida de aplicabilidad material del acto administrativo, en tanto sus disposiciones no se encuentran armonizadas con el marco normativo vigente ni con la estructura organizacional actual del Distrito Capital. </w:t>
            </w:r>
          </w:p>
          <w:p w14:paraId="0578537D" w14:textId="77777777" w:rsidR="00AC2260" w:rsidRPr="00AC2260" w:rsidRDefault="00AC2260" w:rsidP="00AC2260">
            <w:pPr>
              <w:jc w:val="both"/>
              <w:rPr>
                <w:rFonts w:ascii="Times New Roman" w:hAnsi="Times New Roman" w:cs="Times New Roman"/>
                <w:i/>
                <w:sz w:val="24"/>
                <w:szCs w:val="24"/>
              </w:rPr>
            </w:pPr>
          </w:p>
          <w:p w14:paraId="7427937C" w14:textId="77777777" w:rsidR="00AC2260" w:rsidRP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 xml:space="preserve">Desde la perspectiva de conveniencia administrativa, la derogatoria expresa de la Resolución Conjunta 182-230 de 2013 se justifica en la necesidad de garantizar seguridad jurídica, evitar interpretaciones </w:t>
            </w:r>
            <w:r w:rsidRPr="00AC2260">
              <w:rPr>
                <w:rFonts w:ascii="Times New Roman" w:hAnsi="Times New Roman" w:cs="Times New Roman"/>
                <w:i/>
                <w:sz w:val="24"/>
                <w:szCs w:val="24"/>
              </w:rPr>
              <w:lastRenderedPageBreak/>
              <w:t>contradictorias y asegurar la correcta asignación de competencias entre las entidades distritales, en concordancia con los principios de legalidad, coordinación y eficacia de la función administrativa.</w:t>
            </w:r>
          </w:p>
          <w:p w14:paraId="2D51FB47" w14:textId="77777777" w:rsidR="00AC2260" w:rsidRPr="00AC2260" w:rsidRDefault="00AC2260" w:rsidP="00AC2260">
            <w:pPr>
              <w:jc w:val="both"/>
              <w:rPr>
                <w:rFonts w:ascii="Times New Roman" w:hAnsi="Times New Roman" w:cs="Times New Roman"/>
                <w:i/>
                <w:sz w:val="24"/>
                <w:szCs w:val="24"/>
              </w:rPr>
            </w:pPr>
          </w:p>
          <w:p w14:paraId="19021C54" w14:textId="3D2196C1" w:rsidR="00AC2260" w:rsidRDefault="00AC2260" w:rsidP="00AC2260">
            <w:pPr>
              <w:jc w:val="both"/>
              <w:rPr>
                <w:rFonts w:ascii="Times New Roman" w:hAnsi="Times New Roman" w:cs="Times New Roman"/>
                <w:i/>
                <w:sz w:val="24"/>
                <w:szCs w:val="24"/>
              </w:rPr>
            </w:pPr>
            <w:r w:rsidRPr="00AC2260">
              <w:rPr>
                <w:rFonts w:ascii="Times New Roman" w:hAnsi="Times New Roman" w:cs="Times New Roman"/>
                <w:i/>
                <w:sz w:val="24"/>
                <w:szCs w:val="24"/>
              </w:rPr>
              <w:t>En consecuencia, la expedición del proyecto de regulación orientado a derogar la Resolución conjunta 182-230 de 2013 constituye una medida necesaria para armonizar el ordenamiento jurídico distrital con el marco legal vigente, depurar disposiciones que han perdido sustento normativo y fortalecer el ejercicio adecuado de las funciones de inspección, vigilancia y control en cabeza de la autoridad sanitaria competente en garantía de los derechos de las personas mayores.</w:t>
            </w:r>
          </w:p>
          <w:p w14:paraId="07A78085" w14:textId="77777777" w:rsidR="0087790D" w:rsidRPr="00AC2260" w:rsidRDefault="0087790D" w:rsidP="00AC2260">
            <w:pPr>
              <w:jc w:val="both"/>
              <w:rPr>
                <w:rFonts w:ascii="Times New Roman" w:hAnsi="Times New Roman" w:cs="Times New Roman"/>
                <w:i/>
                <w:sz w:val="24"/>
                <w:szCs w:val="24"/>
              </w:rPr>
            </w:pPr>
          </w:p>
          <w:p w14:paraId="358DED44" w14:textId="10F75A4E" w:rsidR="00FA15C4" w:rsidRPr="00FA15C4" w:rsidRDefault="00FA15C4" w:rsidP="0009764B">
            <w:pPr>
              <w:jc w:val="center"/>
              <w:rPr>
                <w:rFonts w:ascii="Times New Roman" w:hAnsi="Times New Roman" w:cs="Times New Roman"/>
                <w:i/>
                <w:color w:val="767171" w:themeColor="background2" w:themeShade="80"/>
                <w:sz w:val="24"/>
                <w:szCs w:val="24"/>
              </w:rPr>
            </w:pPr>
            <w:r>
              <w:rPr>
                <w:rFonts w:ascii="Times New Roman" w:hAnsi="Times New Roman" w:cs="Times New Roman"/>
                <w:i/>
                <w:color w:val="767171" w:themeColor="background2" w:themeShade="80"/>
                <w:sz w:val="24"/>
                <w:szCs w:val="24"/>
              </w:rPr>
              <w:t xml:space="preserve"> </w:t>
            </w:r>
          </w:p>
        </w:tc>
      </w:tr>
      <w:tr w:rsidR="003A7E0E" w:rsidRPr="0006315B" w14:paraId="082FC73B" w14:textId="77777777" w:rsidTr="003A7E0E">
        <w:tc>
          <w:tcPr>
            <w:tcW w:w="10070" w:type="dxa"/>
          </w:tcPr>
          <w:p w14:paraId="04A6A5B5" w14:textId="537F1E02" w:rsidR="003A7E0E" w:rsidRPr="0006315B" w:rsidRDefault="0068537E" w:rsidP="00F70D76">
            <w:pPr>
              <w:jc w:val="center"/>
              <w:rPr>
                <w:rFonts w:ascii="Times New Roman" w:hAnsi="Times New Roman" w:cs="Times New Roman"/>
                <w:b/>
                <w:sz w:val="24"/>
                <w:szCs w:val="24"/>
              </w:rPr>
            </w:pPr>
            <w:r>
              <w:rPr>
                <w:rFonts w:ascii="Times New Roman" w:hAnsi="Times New Roman" w:cs="Times New Roman"/>
                <w:b/>
                <w:sz w:val="24"/>
                <w:szCs w:val="24"/>
              </w:rPr>
              <w:lastRenderedPageBreak/>
              <w:t>Á</w:t>
            </w:r>
            <w:r w:rsidR="0006315B" w:rsidRPr="0006315B">
              <w:rPr>
                <w:rFonts w:ascii="Times New Roman" w:hAnsi="Times New Roman" w:cs="Times New Roman"/>
                <w:b/>
                <w:sz w:val="24"/>
                <w:szCs w:val="24"/>
              </w:rPr>
              <w:t>MBITO DE APLICACIÓN</w:t>
            </w:r>
          </w:p>
        </w:tc>
      </w:tr>
      <w:tr w:rsidR="003A7E0E" w:rsidRPr="0006315B" w14:paraId="513AB9D3" w14:textId="77777777" w:rsidTr="003A7E0E">
        <w:tc>
          <w:tcPr>
            <w:tcW w:w="10070" w:type="dxa"/>
          </w:tcPr>
          <w:p w14:paraId="1D4E95E6" w14:textId="4F5C8776" w:rsidR="00035B61" w:rsidRPr="00035B61" w:rsidRDefault="00035B61" w:rsidP="00035B61">
            <w:pPr>
              <w:jc w:val="both"/>
              <w:rPr>
                <w:rFonts w:ascii="Times New Roman" w:hAnsi="Times New Roman" w:cs="Times New Roman"/>
                <w:i/>
                <w:sz w:val="24"/>
                <w:szCs w:val="24"/>
              </w:rPr>
            </w:pPr>
            <w:r w:rsidRPr="00035B61">
              <w:rPr>
                <w:rFonts w:ascii="Times New Roman" w:hAnsi="Times New Roman" w:cs="Times New Roman"/>
                <w:i/>
                <w:sz w:val="24"/>
                <w:szCs w:val="24"/>
              </w:rPr>
              <w:t xml:space="preserve">La presente Resolución derogatoria tiene ámbito de aplicación en el Distrito Capital, y se circunscribe a las actuaciones administrativas relacionadas con la autorización de instalación y funcionamiento, así como con las funciones de inspección, vigilancia y control de las instituciones de protección y atención integral a las personas mayores. En este sentido, su alcance se limita a derogar el esquema de actuación conjunta previamente establecido entre la Secretaría Distrital de Salud y la Secretaría Distrital de Integración Social, con el fin de que dichas actuaciones se rijan conforme a la distribución de competencias prevista en el marco normativo vigente.  </w:t>
            </w:r>
          </w:p>
          <w:p w14:paraId="301AFFFD" w14:textId="77777777" w:rsidR="00035B61" w:rsidRDefault="00035B61" w:rsidP="00F70D76">
            <w:pPr>
              <w:jc w:val="center"/>
              <w:rPr>
                <w:rFonts w:ascii="Times New Roman" w:hAnsi="Times New Roman" w:cs="Times New Roman"/>
                <w:i/>
                <w:color w:val="767171" w:themeColor="background2" w:themeShade="80"/>
                <w:sz w:val="24"/>
                <w:szCs w:val="24"/>
              </w:rPr>
            </w:pPr>
          </w:p>
          <w:p w14:paraId="2BFAD7EF" w14:textId="7C502039" w:rsidR="003A7E0E" w:rsidRPr="00A3611C" w:rsidRDefault="003A7E0E" w:rsidP="00F70D76">
            <w:pPr>
              <w:jc w:val="center"/>
              <w:rPr>
                <w:rFonts w:ascii="Times New Roman" w:hAnsi="Times New Roman" w:cs="Times New Roman"/>
                <w:i/>
                <w:color w:val="767171" w:themeColor="background2" w:themeShade="80"/>
                <w:sz w:val="24"/>
                <w:szCs w:val="24"/>
              </w:rPr>
            </w:pPr>
          </w:p>
        </w:tc>
      </w:tr>
      <w:tr w:rsidR="003A7E0E" w:rsidRPr="0006315B" w14:paraId="3D48E6A0" w14:textId="77777777" w:rsidTr="003A7E0E">
        <w:tc>
          <w:tcPr>
            <w:tcW w:w="10070" w:type="dxa"/>
          </w:tcPr>
          <w:p w14:paraId="54F7B0DD" w14:textId="77777777" w:rsidR="003A7E0E" w:rsidRPr="00585E78" w:rsidRDefault="00585E78" w:rsidP="0067116F">
            <w:pPr>
              <w:jc w:val="center"/>
              <w:rPr>
                <w:rFonts w:ascii="Times New Roman" w:hAnsi="Times New Roman" w:cs="Times New Roman"/>
                <w:b/>
                <w:sz w:val="24"/>
                <w:szCs w:val="24"/>
              </w:rPr>
            </w:pPr>
            <w:r w:rsidRPr="00585E78">
              <w:rPr>
                <w:rFonts w:ascii="Times New Roman" w:hAnsi="Times New Roman" w:cs="Times New Roman"/>
                <w:b/>
                <w:sz w:val="24"/>
                <w:szCs w:val="24"/>
              </w:rPr>
              <w:t xml:space="preserve">MARCO </w:t>
            </w:r>
            <w:r w:rsidR="0067116F">
              <w:rPr>
                <w:rFonts w:ascii="Times New Roman" w:hAnsi="Times New Roman" w:cs="Times New Roman"/>
                <w:b/>
                <w:sz w:val="24"/>
                <w:szCs w:val="24"/>
              </w:rPr>
              <w:t>JURÍDICO</w:t>
            </w:r>
          </w:p>
        </w:tc>
      </w:tr>
      <w:tr w:rsidR="003A7E0E" w:rsidRPr="0006315B" w14:paraId="33539592" w14:textId="77777777" w:rsidTr="003A7E0E">
        <w:tc>
          <w:tcPr>
            <w:tcW w:w="10070" w:type="dxa"/>
          </w:tcPr>
          <w:p w14:paraId="3E63047C" w14:textId="055BC343" w:rsidR="000257DC" w:rsidRPr="00CB18E8" w:rsidRDefault="000257DC" w:rsidP="00CB18E8">
            <w:pPr>
              <w:pStyle w:val="Prrafodelista"/>
              <w:numPr>
                <w:ilvl w:val="0"/>
                <w:numId w:val="4"/>
              </w:numPr>
              <w:jc w:val="both"/>
              <w:rPr>
                <w:rFonts w:ascii="Times New Roman" w:hAnsi="Times New Roman" w:cs="Times New Roman"/>
                <w:i/>
                <w:sz w:val="24"/>
                <w:szCs w:val="24"/>
              </w:rPr>
            </w:pPr>
            <w:r w:rsidRPr="00CB18E8">
              <w:rPr>
                <w:rFonts w:ascii="Times New Roman" w:hAnsi="Times New Roman" w:cs="Times New Roman"/>
                <w:i/>
                <w:sz w:val="24"/>
                <w:szCs w:val="24"/>
              </w:rPr>
              <w:t>Normas que otorgan competencia</w:t>
            </w:r>
          </w:p>
          <w:p w14:paraId="77AFEF9F" w14:textId="77777777" w:rsidR="000257DC" w:rsidRPr="000257DC" w:rsidRDefault="000257DC" w:rsidP="000257DC">
            <w:pPr>
              <w:jc w:val="both"/>
              <w:rPr>
                <w:rFonts w:ascii="Times New Roman" w:hAnsi="Times New Roman" w:cs="Times New Roman"/>
                <w:i/>
                <w:sz w:val="24"/>
                <w:szCs w:val="24"/>
              </w:rPr>
            </w:pPr>
          </w:p>
          <w:p w14:paraId="3388A59E"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La competencia de inspección, vigilancia y control en cabeza de la Secretaría Distrital de salud se fundamente, en primer lugar, en los artículos 46 y 49 de la constitución Política, que asignan al estado la responsabilidad de organizar, dirigir y controlar los servicios de salud y garantizar la protección de las personas mayores.</w:t>
            </w:r>
          </w:p>
          <w:p w14:paraId="1C4665CF" w14:textId="77777777" w:rsidR="000257DC" w:rsidRPr="000257DC" w:rsidRDefault="000257DC" w:rsidP="000257DC">
            <w:pPr>
              <w:jc w:val="both"/>
              <w:rPr>
                <w:rFonts w:ascii="Times New Roman" w:hAnsi="Times New Roman" w:cs="Times New Roman"/>
                <w:i/>
                <w:sz w:val="24"/>
                <w:szCs w:val="24"/>
              </w:rPr>
            </w:pPr>
          </w:p>
          <w:p w14:paraId="53BC6DA5" w14:textId="76081DE3" w:rsid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En el ámbito legal, la Ley 1315 de 2009 establece de manera puntual las competencias en cabeza de las Secretarías de Salud del orden territorial. En efecto, el artículo 4 dispone que la autorización de funcionamiento debe ser solicitada “ante la Secretaría de Salud correspondiente sea esta Departamental, Distrital o Municipal”, lo que define a estas entidades como autoridades competentes para autorizar la instalación y funcionamiento de los centros de atención.</w:t>
            </w:r>
          </w:p>
          <w:p w14:paraId="0131FEC9" w14:textId="77777777" w:rsidR="000257DC" w:rsidRPr="000257DC" w:rsidRDefault="000257DC" w:rsidP="000257DC">
            <w:pPr>
              <w:jc w:val="both"/>
              <w:rPr>
                <w:rFonts w:ascii="Times New Roman" w:hAnsi="Times New Roman" w:cs="Times New Roman"/>
                <w:i/>
                <w:sz w:val="24"/>
                <w:szCs w:val="24"/>
              </w:rPr>
            </w:pPr>
          </w:p>
          <w:p w14:paraId="7EC73CA9"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De igual forma, el artículo 14 señala expresamente que “el seguimiento de vigilancia y control a los centros de protección social, de día e instituciones de atención (…) corresponde a las Secretarías de Salud de los niveles Departamental, Distrital y Municipal”, atribuyéndoles de manera directa las funciones de inspección, vigilancia y control. </w:t>
            </w:r>
          </w:p>
          <w:p w14:paraId="3C6F2AE9" w14:textId="77777777" w:rsidR="000257DC" w:rsidRPr="000257DC" w:rsidRDefault="000257DC" w:rsidP="000257DC">
            <w:pPr>
              <w:jc w:val="both"/>
              <w:rPr>
                <w:rFonts w:ascii="Times New Roman" w:hAnsi="Times New Roman" w:cs="Times New Roman"/>
                <w:i/>
                <w:sz w:val="24"/>
                <w:szCs w:val="24"/>
              </w:rPr>
            </w:pPr>
          </w:p>
          <w:p w14:paraId="0FCE0EE1" w14:textId="74E4222D" w:rsidR="000257DC" w:rsidRPr="00CB18E8" w:rsidRDefault="000257DC" w:rsidP="00CB18E8">
            <w:pPr>
              <w:pStyle w:val="Prrafodelista"/>
              <w:numPr>
                <w:ilvl w:val="0"/>
                <w:numId w:val="4"/>
              </w:numPr>
              <w:jc w:val="both"/>
              <w:rPr>
                <w:rFonts w:ascii="Times New Roman" w:hAnsi="Times New Roman" w:cs="Times New Roman"/>
                <w:i/>
                <w:sz w:val="24"/>
                <w:szCs w:val="24"/>
              </w:rPr>
            </w:pPr>
            <w:r w:rsidRPr="00CB18E8">
              <w:rPr>
                <w:rFonts w:ascii="Times New Roman" w:hAnsi="Times New Roman" w:cs="Times New Roman"/>
                <w:i/>
                <w:sz w:val="24"/>
                <w:szCs w:val="24"/>
              </w:rPr>
              <w:t>Régimen Jurídico aplicable</w:t>
            </w:r>
          </w:p>
          <w:p w14:paraId="6F1D863B" w14:textId="77777777" w:rsidR="000257DC" w:rsidRPr="000257DC" w:rsidRDefault="000257DC" w:rsidP="000257DC">
            <w:pPr>
              <w:jc w:val="both"/>
              <w:rPr>
                <w:rFonts w:ascii="Times New Roman" w:hAnsi="Times New Roman" w:cs="Times New Roman"/>
                <w:i/>
                <w:sz w:val="24"/>
                <w:szCs w:val="24"/>
              </w:rPr>
            </w:pPr>
          </w:p>
          <w:p w14:paraId="5AB383FC"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Los fundamentos constitucionales y legales del presente decreto son los siguientes: </w:t>
            </w:r>
          </w:p>
          <w:p w14:paraId="33DB52CF" w14:textId="77777777" w:rsidR="000257DC" w:rsidRPr="000257DC" w:rsidRDefault="000257DC" w:rsidP="000257DC">
            <w:pPr>
              <w:jc w:val="both"/>
              <w:rPr>
                <w:rFonts w:ascii="Times New Roman" w:hAnsi="Times New Roman" w:cs="Times New Roman"/>
                <w:i/>
                <w:sz w:val="24"/>
                <w:szCs w:val="24"/>
              </w:rPr>
            </w:pPr>
          </w:p>
          <w:p w14:paraId="00049722" w14:textId="5DA3A482" w:rsidR="000257DC" w:rsidRPr="000257DC" w:rsidRDefault="000257DC" w:rsidP="000257DC">
            <w:pPr>
              <w:jc w:val="both"/>
              <w:rPr>
                <w:rFonts w:ascii="Times New Roman" w:hAnsi="Times New Roman" w:cs="Times New Roman"/>
                <w:i/>
                <w:sz w:val="24"/>
                <w:szCs w:val="24"/>
              </w:rPr>
            </w:pPr>
            <w:r w:rsidRPr="00CB18E8">
              <w:rPr>
                <w:rFonts w:ascii="Times New Roman" w:hAnsi="Times New Roman" w:cs="Times New Roman"/>
                <w:b/>
                <w:bCs/>
                <w:i/>
                <w:sz w:val="24"/>
                <w:szCs w:val="24"/>
              </w:rPr>
              <w:t>2.1.</w:t>
            </w:r>
            <w:r w:rsidR="00CB18E8">
              <w:rPr>
                <w:rFonts w:ascii="Times New Roman" w:hAnsi="Times New Roman" w:cs="Times New Roman"/>
                <w:i/>
                <w:sz w:val="24"/>
                <w:szCs w:val="24"/>
              </w:rPr>
              <w:t xml:space="preserve"> </w:t>
            </w:r>
            <w:r w:rsidRPr="000257DC">
              <w:rPr>
                <w:rFonts w:ascii="Times New Roman" w:hAnsi="Times New Roman" w:cs="Times New Roman"/>
                <w:i/>
                <w:sz w:val="24"/>
                <w:szCs w:val="24"/>
              </w:rPr>
              <w:t xml:space="preserve">Constitución Política: </w:t>
            </w:r>
          </w:p>
          <w:p w14:paraId="4B26B537" w14:textId="77777777" w:rsidR="000257DC" w:rsidRPr="000257DC" w:rsidRDefault="000257DC" w:rsidP="000257DC">
            <w:pPr>
              <w:jc w:val="both"/>
              <w:rPr>
                <w:rFonts w:ascii="Times New Roman" w:hAnsi="Times New Roman" w:cs="Times New Roman"/>
                <w:i/>
                <w:sz w:val="24"/>
                <w:szCs w:val="24"/>
              </w:rPr>
            </w:pPr>
          </w:p>
          <w:p w14:paraId="2702CBDC"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lastRenderedPageBreak/>
              <w:t>El artículo 1º de la Constitución Política determina que “Colombia es un Estado social de derecho, (…), fundada en el respeto de la dignidad humana, en el trabajo y la solidaridad de las personas que la integran y en la prevalencia del interés general”. El artículo 2º ídem señala que “(…) son fines esenciales del Estado: servir a la comunidad, promover la prosperidad general y garantizar la efectividad de los principios, derechos y deberes consagrados en la Constitución”.</w:t>
            </w:r>
          </w:p>
          <w:p w14:paraId="31538632" w14:textId="77777777" w:rsidR="000257DC" w:rsidRPr="000257DC" w:rsidRDefault="000257DC" w:rsidP="000257DC">
            <w:pPr>
              <w:jc w:val="both"/>
              <w:rPr>
                <w:rFonts w:ascii="Times New Roman" w:hAnsi="Times New Roman" w:cs="Times New Roman"/>
                <w:i/>
                <w:sz w:val="24"/>
                <w:szCs w:val="24"/>
              </w:rPr>
            </w:pPr>
          </w:p>
          <w:p w14:paraId="6C500CBF" w14:textId="2902F5D0"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El artículo 46 establece la obligación del Estado de proteger y asistir a las personas mayores.  </w:t>
            </w:r>
          </w:p>
          <w:p w14:paraId="5605DA65" w14:textId="77777777" w:rsidR="000257DC" w:rsidRPr="000257DC" w:rsidRDefault="000257DC" w:rsidP="000257DC">
            <w:pPr>
              <w:jc w:val="both"/>
              <w:rPr>
                <w:rFonts w:ascii="Times New Roman" w:hAnsi="Times New Roman" w:cs="Times New Roman"/>
                <w:i/>
                <w:sz w:val="24"/>
                <w:szCs w:val="24"/>
              </w:rPr>
            </w:pPr>
          </w:p>
          <w:p w14:paraId="39983AD2"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A su vez, el artículo 49 de la Constitución Política determina que la atención de la salud y el saneamiento ambiental son servicios públicos a cargo del Estado. </w:t>
            </w:r>
          </w:p>
          <w:p w14:paraId="201553DF" w14:textId="77777777" w:rsidR="000257DC" w:rsidRPr="000257DC" w:rsidRDefault="000257DC" w:rsidP="000257DC">
            <w:pPr>
              <w:jc w:val="both"/>
              <w:rPr>
                <w:rFonts w:ascii="Times New Roman" w:hAnsi="Times New Roman" w:cs="Times New Roman"/>
                <w:i/>
                <w:sz w:val="24"/>
                <w:szCs w:val="24"/>
              </w:rPr>
            </w:pPr>
          </w:p>
          <w:p w14:paraId="6D3F53B9" w14:textId="3EE6F721" w:rsidR="000257DC" w:rsidRPr="000257DC" w:rsidRDefault="000257DC" w:rsidP="000257DC">
            <w:pPr>
              <w:jc w:val="both"/>
              <w:rPr>
                <w:rFonts w:ascii="Times New Roman" w:hAnsi="Times New Roman" w:cs="Times New Roman"/>
                <w:i/>
                <w:sz w:val="24"/>
                <w:szCs w:val="24"/>
              </w:rPr>
            </w:pPr>
            <w:r w:rsidRPr="00CB18E8">
              <w:rPr>
                <w:rFonts w:ascii="Times New Roman" w:hAnsi="Times New Roman" w:cs="Times New Roman"/>
                <w:b/>
                <w:bCs/>
                <w:i/>
                <w:sz w:val="24"/>
                <w:szCs w:val="24"/>
              </w:rPr>
              <w:t>2.</w:t>
            </w:r>
            <w:r w:rsidR="00CB18E8" w:rsidRPr="00CB18E8">
              <w:rPr>
                <w:rFonts w:ascii="Times New Roman" w:hAnsi="Times New Roman" w:cs="Times New Roman"/>
                <w:b/>
                <w:bCs/>
                <w:i/>
                <w:sz w:val="24"/>
                <w:szCs w:val="24"/>
              </w:rPr>
              <w:t>2.</w:t>
            </w:r>
            <w:r w:rsidR="00CB18E8">
              <w:rPr>
                <w:rFonts w:ascii="Times New Roman" w:hAnsi="Times New Roman" w:cs="Times New Roman"/>
                <w:i/>
                <w:sz w:val="24"/>
                <w:szCs w:val="24"/>
              </w:rPr>
              <w:t xml:space="preserve"> </w:t>
            </w:r>
            <w:r w:rsidRPr="000257DC">
              <w:rPr>
                <w:rFonts w:ascii="Times New Roman" w:hAnsi="Times New Roman" w:cs="Times New Roman"/>
                <w:i/>
                <w:sz w:val="24"/>
                <w:szCs w:val="24"/>
              </w:rPr>
              <w:t>Normativa de orden nacional:</w:t>
            </w:r>
          </w:p>
          <w:p w14:paraId="317BC583" w14:textId="77777777" w:rsidR="000257DC" w:rsidRPr="000257DC" w:rsidRDefault="000257DC" w:rsidP="000257DC">
            <w:pPr>
              <w:jc w:val="both"/>
              <w:rPr>
                <w:rFonts w:ascii="Times New Roman" w:hAnsi="Times New Roman" w:cs="Times New Roman"/>
                <w:i/>
                <w:sz w:val="24"/>
                <w:szCs w:val="24"/>
              </w:rPr>
            </w:pPr>
          </w:p>
          <w:p w14:paraId="7454FC3E"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La Ley 1251 de 2008 establece el marco general de protección de los derechos de las personas mayores y regula el funcionamiento de las instituciones que les prestan servicios, al señalar que busca “proteger, promover, reestablecer y defender los derechos de los adultos mayores (…) y regular el funcionamiento de las instituciones”. Así mismo, dispone como deber del Estado “establecer los mecanismos de inspección, vigilancia y control” sobre dichas entidades, lo cual fundamenta la necesidad de ajustar la regulación distrital a la distribución de competencias vigente. </w:t>
            </w:r>
          </w:p>
          <w:p w14:paraId="7B5DC590" w14:textId="77777777" w:rsidR="000257DC" w:rsidRPr="000257DC" w:rsidRDefault="000257DC" w:rsidP="000257DC">
            <w:pPr>
              <w:jc w:val="both"/>
              <w:rPr>
                <w:rFonts w:ascii="Times New Roman" w:hAnsi="Times New Roman" w:cs="Times New Roman"/>
                <w:i/>
                <w:sz w:val="24"/>
                <w:szCs w:val="24"/>
              </w:rPr>
            </w:pPr>
          </w:p>
          <w:p w14:paraId="57712D02"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La Ley 1315 de 2009 se relaciona directamente con el objeto del presente acto administrativo, en cuanto define de manera expresa las competencias de las autoridades sanitarias territoriales frente a las instituciones de atención a personas mayores. En particular el artículo 4 establece que la autorización de funcionamiento debe solicitarse “ante la Secretaría de Salud correspondiente” mientras que el artículo 14 dispone que “el seguimiento de vigilancia y control (…) corresponde a las Secretarías de Salud”. De igual forma, el artículo 11 señala que “el Ministerio de la Protección Social establecerá los lineamientos técnicos a seguir”, lo que refuerza la existencia de un marco técnico nacional que orienta estas actuaciones. </w:t>
            </w:r>
          </w:p>
          <w:p w14:paraId="2BD87DC5" w14:textId="77777777" w:rsidR="000257DC" w:rsidRPr="000257DC" w:rsidRDefault="000257DC" w:rsidP="000257DC">
            <w:pPr>
              <w:jc w:val="both"/>
              <w:rPr>
                <w:rFonts w:ascii="Times New Roman" w:hAnsi="Times New Roman" w:cs="Times New Roman"/>
                <w:i/>
                <w:sz w:val="24"/>
                <w:szCs w:val="24"/>
              </w:rPr>
            </w:pPr>
          </w:p>
          <w:p w14:paraId="2B5DB274"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El Decreto 780 de 2016 se relaciona con el objeto del presente acto administrativo en cuanto consolida el marco reglamentario del sistema General de Seguridad Social en Salud y define las competencias de dirección, regulación y control del sector. En particular, establece que el Ministerio de Salud y Protección Social tiene la función de “formular, adoptar, dirigir, coordinar, ejecutar y evaluar la política pública en materia de salud”, así como “dirigirá, orientará, coordinará, regulará y evaluará el Sistema General de Seguridad Social en Salud (…)” (artículo 1.1.1.1.), lo cual evidencia la existencia de un esquema normativo centralizado y estructurado para la gestión del sistema. </w:t>
            </w:r>
          </w:p>
          <w:p w14:paraId="4493D558" w14:textId="77777777" w:rsidR="000257DC" w:rsidRPr="000257DC" w:rsidRDefault="000257DC" w:rsidP="000257DC">
            <w:pPr>
              <w:jc w:val="both"/>
              <w:rPr>
                <w:rFonts w:ascii="Times New Roman" w:hAnsi="Times New Roman" w:cs="Times New Roman"/>
                <w:i/>
                <w:sz w:val="24"/>
                <w:szCs w:val="24"/>
              </w:rPr>
            </w:pPr>
          </w:p>
          <w:p w14:paraId="766C7C90"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La Resolución 3100 de 2019 se integra al marco normativo que sustenta la derogatoria de la Resolución Conjunta 182-230 de 2013, al establecer un modelo técnico unificado para la habilitación y control de los servicios de salud, cuya aplicación corresponde a las autoridades sanitarias. En efecto, en su artículo 1 establece como objeto “definir los procedimientos y condiciones de inscripción de los prestadores de servicios de salud y de habilitación de los servicios de salud”, mientras que el artículo 3 exige el cumplimiento de condiciones de “capacidad tecnológica y científica, suficiencia patrimonial y financiera y de capacidad técnico-administrativa”, y el artículo 25 dispone que las autoridades sanitarias deben “verificar el cumplimiento de las condiciones de habilitación”. En concordancia con la Ley 1315 de 2009, este marco reafirma que la evaluación de condiciones de calidad en instituciones </w:t>
            </w:r>
            <w:r w:rsidRPr="000257DC">
              <w:rPr>
                <w:rFonts w:ascii="Times New Roman" w:hAnsi="Times New Roman" w:cs="Times New Roman"/>
                <w:i/>
                <w:sz w:val="24"/>
                <w:szCs w:val="24"/>
              </w:rPr>
              <w:lastRenderedPageBreak/>
              <w:t>que presten servicios de salud corresponde a la autoridad sanitaria, lo que sustenta la derogatoria de esquemas de actuación conjunta que no se ajustan a la distribución de competencias vigente.</w:t>
            </w:r>
          </w:p>
          <w:p w14:paraId="3AF39A39" w14:textId="77777777" w:rsidR="000257DC" w:rsidRPr="000257DC" w:rsidRDefault="000257DC" w:rsidP="000257DC">
            <w:pPr>
              <w:jc w:val="both"/>
              <w:rPr>
                <w:rFonts w:ascii="Times New Roman" w:hAnsi="Times New Roman" w:cs="Times New Roman"/>
                <w:i/>
                <w:sz w:val="24"/>
                <w:szCs w:val="24"/>
              </w:rPr>
            </w:pPr>
          </w:p>
          <w:p w14:paraId="2E704491"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El conjunto normativo integrado por las Leyes 9 de 1979, 100 de 1993, 715 de 2001, 1122 de 2007, 1438 de 2011 y 1751 de 2015 configura el marco estructural del sistema de salud en Colombia y sustenta la derogatoria de la Resolución Conjunta 182-230 de 2013, al consolidar una asignación clara, progresiva y especializada de competencias en materia de inspección, vigilancia y control.</w:t>
            </w:r>
          </w:p>
          <w:p w14:paraId="24032992" w14:textId="77777777" w:rsidR="000257DC" w:rsidRPr="000257DC" w:rsidRDefault="000257DC" w:rsidP="000257DC">
            <w:pPr>
              <w:jc w:val="both"/>
              <w:rPr>
                <w:rFonts w:ascii="Times New Roman" w:hAnsi="Times New Roman" w:cs="Times New Roman"/>
                <w:i/>
                <w:sz w:val="24"/>
                <w:szCs w:val="24"/>
              </w:rPr>
            </w:pPr>
          </w:p>
          <w:p w14:paraId="285E970A"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En este sentido, la Ley 9 de 1979 faculta a las autoridades sanitarias para ejercer control sobre los establecimientos mediante la adopción de medidas sanitarias de seguridad; la Ley 100 de 1993 establece la dirección, organización y regulación del sistema de salud bajo responsabilidad del Estado; y la Ley 715 de 2001 distribuye competencias entre los distintos niveles territoriales, asignando a las entidades territoriales funciones específicas en la gestión y control del sector. Este esquema es fortalecido por las Leyes 1122 de 2007 y 1438 de 2011, que robustecen los mecanismos de inspección, vigilancia y control y orientan el sistema hacia un modelo más eficiente y articulado.</w:t>
            </w:r>
          </w:p>
          <w:p w14:paraId="4FD51BAC" w14:textId="77777777" w:rsidR="000257DC" w:rsidRPr="000257DC" w:rsidRDefault="000257DC" w:rsidP="000257DC">
            <w:pPr>
              <w:jc w:val="both"/>
              <w:rPr>
                <w:rFonts w:ascii="Times New Roman" w:hAnsi="Times New Roman" w:cs="Times New Roman"/>
                <w:i/>
                <w:sz w:val="24"/>
                <w:szCs w:val="24"/>
              </w:rPr>
            </w:pPr>
          </w:p>
          <w:p w14:paraId="3D936270"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Por su parte, la Ley 1751 de 2015 reconoce la salud como un derecho fundamental autónomo, cuya garantía exige condiciones de calidad, accesibilidad y oportunidad, lo que implica el ejercicio efectivo de funciones de regulación y control por parte de las autoridades competentes. En conjunto, este desarrollo normativo evidencia un modelo que exige precisión en la asignación de competencias y especialización funcional, lo cual resulta incompatible con esquemas concurrentes como el previsto en la Resolución Conjunta 182-230 de 2013 y justifica su derogatoria.</w:t>
            </w:r>
          </w:p>
          <w:p w14:paraId="5A342B11" w14:textId="77777777" w:rsidR="000257DC" w:rsidRPr="000257DC" w:rsidRDefault="000257DC" w:rsidP="000257DC">
            <w:pPr>
              <w:jc w:val="both"/>
              <w:rPr>
                <w:rFonts w:ascii="Times New Roman" w:hAnsi="Times New Roman" w:cs="Times New Roman"/>
                <w:i/>
                <w:sz w:val="24"/>
                <w:szCs w:val="24"/>
              </w:rPr>
            </w:pPr>
          </w:p>
          <w:p w14:paraId="1E6516DA" w14:textId="42EBC20B" w:rsidR="000257DC" w:rsidRPr="000257DC" w:rsidRDefault="000257DC" w:rsidP="000257DC">
            <w:pPr>
              <w:jc w:val="both"/>
              <w:rPr>
                <w:rFonts w:ascii="Times New Roman" w:hAnsi="Times New Roman" w:cs="Times New Roman"/>
                <w:i/>
                <w:sz w:val="24"/>
                <w:szCs w:val="24"/>
              </w:rPr>
            </w:pPr>
            <w:r w:rsidRPr="00CB18E8">
              <w:rPr>
                <w:rFonts w:ascii="Times New Roman" w:hAnsi="Times New Roman" w:cs="Times New Roman"/>
                <w:b/>
                <w:bCs/>
                <w:i/>
                <w:sz w:val="24"/>
                <w:szCs w:val="24"/>
              </w:rPr>
              <w:t>2.3.</w:t>
            </w:r>
            <w:r w:rsidR="00CB18E8">
              <w:rPr>
                <w:rFonts w:ascii="Times New Roman" w:hAnsi="Times New Roman" w:cs="Times New Roman"/>
                <w:i/>
                <w:sz w:val="24"/>
                <w:szCs w:val="24"/>
              </w:rPr>
              <w:t xml:space="preserve"> </w:t>
            </w:r>
            <w:r w:rsidRPr="000257DC">
              <w:rPr>
                <w:rFonts w:ascii="Times New Roman" w:hAnsi="Times New Roman" w:cs="Times New Roman"/>
                <w:i/>
                <w:sz w:val="24"/>
                <w:szCs w:val="24"/>
              </w:rPr>
              <w:t xml:space="preserve">Normativa de orden distrital: </w:t>
            </w:r>
          </w:p>
          <w:p w14:paraId="272A5D59" w14:textId="77777777" w:rsidR="000257DC" w:rsidRPr="000257DC" w:rsidRDefault="000257DC" w:rsidP="000257DC">
            <w:pPr>
              <w:jc w:val="both"/>
              <w:rPr>
                <w:rFonts w:ascii="Times New Roman" w:hAnsi="Times New Roman" w:cs="Times New Roman"/>
                <w:i/>
                <w:sz w:val="24"/>
                <w:szCs w:val="24"/>
              </w:rPr>
            </w:pPr>
          </w:p>
          <w:p w14:paraId="1F4BE2FF"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El Acuerdo Distrital 257 de 2006 sustenta la derogatoria de la Resolución Conjunta 182-230 de 2013 al establecer, en su artículo 3, que la función administrativa distrital debe desarrollarse conforme a los principios de distribución de competencias, coordinación y concurrencia; y en su artículo 11, que cuando sobre un mismo asunto se asignen competencias a diferentes organismos para ser ejercidas de manera conjunta, su actuación debe ajustarse a los límites fijados en la norma, sin desconocer las atribuciones propias de cada entidad. En este mismo sentido, el artículo 20 dispone que las entidades únicamente pueden ejercer funciones expresamente asignadas por el ordenamiento jurídico, mientras que el artículo 23 reconoce a las Secretarías de Despacho como entes rectores con funciones de orientación, coordinación y control en su respectivo sector. En consecuencia, la asignación de funciones de inspección, vigilancia y control mediante esquemas conjuntos no previstos en la ley resulta contraria al modelo de especialización funcional, lo que justifica su derogatoria para garantizar coherencia normativa y adecuada distribución de competencias.</w:t>
            </w:r>
          </w:p>
          <w:p w14:paraId="3D5004F0" w14:textId="77777777" w:rsidR="000257DC" w:rsidRPr="000257DC" w:rsidRDefault="000257DC" w:rsidP="000257DC">
            <w:pPr>
              <w:jc w:val="both"/>
              <w:rPr>
                <w:rFonts w:ascii="Times New Roman" w:hAnsi="Times New Roman" w:cs="Times New Roman"/>
                <w:i/>
                <w:sz w:val="24"/>
                <w:szCs w:val="24"/>
              </w:rPr>
            </w:pPr>
          </w:p>
          <w:p w14:paraId="41DA3CC9"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El Decreto Distrital 345 de 2010 sustenta la derogatoria al adoptar una política pública para el envejecimiento basada en la coordinación intersectorial para la formulación y ejecución de acciones, sin modificar la asignación de competencias. En ese contexto, no respalda esquemas conjuntos para funciones de inspección, vigilancia y control, lo que justifica su derogatoria con el fin de asegurar coherencia normativa.</w:t>
            </w:r>
          </w:p>
          <w:p w14:paraId="6C5ABD70" w14:textId="77777777" w:rsidR="000257DC" w:rsidRPr="000257DC" w:rsidRDefault="000257DC" w:rsidP="000257DC">
            <w:pPr>
              <w:jc w:val="both"/>
              <w:rPr>
                <w:rFonts w:ascii="Times New Roman" w:hAnsi="Times New Roman" w:cs="Times New Roman"/>
                <w:i/>
                <w:sz w:val="24"/>
                <w:szCs w:val="24"/>
              </w:rPr>
            </w:pPr>
          </w:p>
          <w:p w14:paraId="70226A65"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El Decreto Distrital 641 de 2025 justifica la derogatoria de la Resolución Conjunta al disponer, en su artículo 1, la compilación, depuración y racionalización de las normas del sector salud bajo criterios </w:t>
            </w:r>
            <w:r w:rsidRPr="000257DC">
              <w:rPr>
                <w:rFonts w:ascii="Times New Roman" w:hAnsi="Times New Roman" w:cs="Times New Roman"/>
                <w:i/>
                <w:sz w:val="24"/>
                <w:szCs w:val="24"/>
              </w:rPr>
              <w:lastRenderedPageBreak/>
              <w:t xml:space="preserve">de coherencia y seguridad jurídica, lo que implica eliminar las disposiciones obsoletas o desalineadas; así mismo, en sus artículos 3 y 4 reafirma a la Secretaría Distrital de Salud como organismo rector con funciones de dirección, coordinación, vigilancia y control, evidenciando un modelo de competencias definidas que resulta incompatible con esquemas conjuntos no previstos en la normativa vigente. </w:t>
            </w:r>
          </w:p>
          <w:p w14:paraId="73589681" w14:textId="77777777" w:rsidR="000257DC" w:rsidRPr="000257DC" w:rsidRDefault="000257DC" w:rsidP="000257DC">
            <w:pPr>
              <w:jc w:val="both"/>
              <w:rPr>
                <w:rFonts w:ascii="Times New Roman" w:hAnsi="Times New Roman" w:cs="Times New Roman"/>
                <w:i/>
                <w:sz w:val="24"/>
                <w:szCs w:val="24"/>
              </w:rPr>
            </w:pPr>
          </w:p>
          <w:p w14:paraId="2892CFC5"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El Decreto Distrital 647 de 2025 sustenta la derogatoria de la Resolución Conjunta 182-230 de 2013 al establecer la integración, depuración y simplificación del marco normativo del sector Integración Social, orientada a garantizar coherencia, eficiencia y seguridad jurídica, sin modificar ni redistribuir las competencias asignadas. En este contexto, delimita el ámbito de actuación de la Secretaría Distrital de Integración Social en la formulación, orientación y ejecución de políticas y servicios sociales dirigidos a poblaciones en situación de vulnerabilidad, lo que evidencia un marco funcional definido. En consecuencia, la existencia de esquemas conjuntos no previstos en la normativa vigente resulta incompatible con dicha delimitación. </w:t>
            </w:r>
          </w:p>
          <w:p w14:paraId="71877EE6" w14:textId="77777777" w:rsidR="000257DC" w:rsidRPr="000257DC" w:rsidRDefault="000257DC" w:rsidP="000257DC">
            <w:pPr>
              <w:jc w:val="both"/>
              <w:rPr>
                <w:rFonts w:ascii="Times New Roman" w:hAnsi="Times New Roman" w:cs="Times New Roman"/>
                <w:i/>
                <w:sz w:val="24"/>
                <w:szCs w:val="24"/>
              </w:rPr>
            </w:pPr>
          </w:p>
          <w:p w14:paraId="761C43E6" w14:textId="77777777" w:rsidR="000257DC" w:rsidRPr="000257DC" w:rsidRDefault="000257DC" w:rsidP="000257DC">
            <w:pPr>
              <w:jc w:val="both"/>
              <w:rPr>
                <w:rFonts w:ascii="Times New Roman" w:hAnsi="Times New Roman" w:cs="Times New Roman"/>
                <w:i/>
                <w:sz w:val="24"/>
                <w:szCs w:val="24"/>
              </w:rPr>
            </w:pPr>
            <w:proofErr w:type="spellStart"/>
            <w:r w:rsidRPr="00CB18E8">
              <w:rPr>
                <w:rFonts w:ascii="Times New Roman" w:hAnsi="Times New Roman" w:cs="Times New Roman"/>
                <w:b/>
                <w:bCs/>
                <w:i/>
                <w:sz w:val="24"/>
                <w:szCs w:val="24"/>
              </w:rPr>
              <w:t>iii</w:t>
            </w:r>
            <w:proofErr w:type="spellEnd"/>
            <w:r w:rsidRPr="00CB18E8">
              <w:rPr>
                <w:rFonts w:ascii="Times New Roman" w:hAnsi="Times New Roman" w:cs="Times New Roman"/>
                <w:b/>
                <w:bCs/>
                <w:i/>
                <w:sz w:val="24"/>
                <w:szCs w:val="24"/>
              </w:rPr>
              <w:t>)</w:t>
            </w:r>
            <w:r w:rsidRPr="000257DC">
              <w:rPr>
                <w:rFonts w:ascii="Times New Roman" w:hAnsi="Times New Roman" w:cs="Times New Roman"/>
                <w:i/>
                <w:sz w:val="24"/>
                <w:szCs w:val="24"/>
              </w:rPr>
              <w:tab/>
              <w:t xml:space="preserve">Finalidad del acto propuesto </w:t>
            </w:r>
          </w:p>
          <w:p w14:paraId="3565C29F" w14:textId="77777777" w:rsidR="000257DC" w:rsidRPr="000257DC" w:rsidRDefault="000257DC" w:rsidP="000257DC">
            <w:pPr>
              <w:jc w:val="both"/>
              <w:rPr>
                <w:rFonts w:ascii="Times New Roman" w:hAnsi="Times New Roman" w:cs="Times New Roman"/>
                <w:i/>
                <w:sz w:val="24"/>
                <w:szCs w:val="24"/>
              </w:rPr>
            </w:pPr>
          </w:p>
          <w:p w14:paraId="1BE80F2D"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La finalidad de la resolución “Por medio de la cual se deroga la Resolución Conjunta 182-230 del 1 de marzo de 2013 suscrita entre la Secretaría Distrital de Salud y la Secretaría Distrital de Integración Social” es adecuar el ordenamiento jurídico distrital a la distribución vigente de competencias, eliminando un esquema de actuación conjunta que resulta incompatible con el marco normativo actual. Con ello, se busca restablecer la coherencia normativa, garantizar el principio de especialización funcional y asegurar que las funciones de inspección, vigilancia y control en materia de salud sean ejercidas por la autoridad sanitaria competente, evitando duplicidades, vacíos o superposiciones en el ejercicio de las funciones públicas. </w:t>
            </w:r>
          </w:p>
          <w:p w14:paraId="309AFAC7" w14:textId="77777777" w:rsidR="000257DC" w:rsidRPr="000257DC" w:rsidRDefault="000257DC" w:rsidP="000257DC">
            <w:pPr>
              <w:jc w:val="both"/>
              <w:rPr>
                <w:rFonts w:ascii="Times New Roman" w:hAnsi="Times New Roman" w:cs="Times New Roman"/>
                <w:i/>
                <w:sz w:val="24"/>
                <w:szCs w:val="24"/>
              </w:rPr>
            </w:pPr>
          </w:p>
          <w:p w14:paraId="44937E6F" w14:textId="77777777" w:rsidR="000257DC" w:rsidRPr="000257DC" w:rsidRDefault="000257DC" w:rsidP="000257DC">
            <w:pPr>
              <w:jc w:val="both"/>
              <w:rPr>
                <w:rFonts w:ascii="Times New Roman" w:hAnsi="Times New Roman" w:cs="Times New Roman"/>
                <w:i/>
                <w:sz w:val="24"/>
                <w:szCs w:val="24"/>
              </w:rPr>
            </w:pPr>
            <w:proofErr w:type="spellStart"/>
            <w:r w:rsidRPr="00CB18E8">
              <w:rPr>
                <w:rFonts w:ascii="Times New Roman" w:hAnsi="Times New Roman" w:cs="Times New Roman"/>
                <w:b/>
                <w:bCs/>
                <w:i/>
                <w:sz w:val="24"/>
                <w:szCs w:val="24"/>
              </w:rPr>
              <w:t>iv</w:t>
            </w:r>
            <w:proofErr w:type="spellEnd"/>
            <w:r w:rsidRPr="00CB18E8">
              <w:rPr>
                <w:rFonts w:ascii="Times New Roman" w:hAnsi="Times New Roman" w:cs="Times New Roman"/>
                <w:b/>
                <w:bCs/>
                <w:i/>
                <w:sz w:val="24"/>
                <w:szCs w:val="24"/>
              </w:rPr>
              <w:t>)</w:t>
            </w:r>
            <w:r w:rsidRPr="000257DC">
              <w:rPr>
                <w:rFonts w:ascii="Times New Roman" w:hAnsi="Times New Roman" w:cs="Times New Roman"/>
                <w:i/>
                <w:sz w:val="24"/>
                <w:szCs w:val="24"/>
              </w:rPr>
              <w:tab/>
              <w:t>Disposiciones derogadas, subrogadas, modificadas, adicionadas o sustituidas</w:t>
            </w:r>
          </w:p>
          <w:p w14:paraId="69662F81" w14:textId="77777777" w:rsidR="000257DC" w:rsidRPr="000257DC" w:rsidRDefault="000257DC" w:rsidP="000257DC">
            <w:pPr>
              <w:jc w:val="both"/>
              <w:rPr>
                <w:rFonts w:ascii="Times New Roman" w:hAnsi="Times New Roman" w:cs="Times New Roman"/>
                <w:i/>
                <w:sz w:val="24"/>
                <w:szCs w:val="24"/>
              </w:rPr>
            </w:pPr>
          </w:p>
          <w:p w14:paraId="10395723" w14:textId="77777777"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 xml:space="preserve">La única disposición objeto de afectación directa es la Resolución Conjunta 182-230 expedida el 1 de marzo de 2013, la cual se deroga en su integridad del ordenamiento jurídico. Esta decisión se sustenta en la pérdida de vigencia material de su contenido frente a normas de jerarquía superior y al desarrollo normativo posterior que atribuye de forma clara y exclusiva las funciones de inspección, vigilancia y control de la autoridad sanitaria.  En consecuencia, no se advierten efectos de subrogación, modificación, adición o sustitución normativa, sino una supresión expresa e integral de la disposición, en el marco de un proceso de depuración y ajuste del ordenamiento jurídico distrital. </w:t>
            </w:r>
          </w:p>
          <w:p w14:paraId="02D08314" w14:textId="77777777" w:rsidR="000257DC" w:rsidRPr="000257DC" w:rsidRDefault="000257DC" w:rsidP="000257DC">
            <w:pPr>
              <w:jc w:val="both"/>
              <w:rPr>
                <w:rFonts w:ascii="Times New Roman" w:hAnsi="Times New Roman" w:cs="Times New Roman"/>
                <w:i/>
                <w:sz w:val="24"/>
                <w:szCs w:val="24"/>
              </w:rPr>
            </w:pPr>
          </w:p>
          <w:p w14:paraId="144153EF" w14:textId="69800825" w:rsidR="000257DC" w:rsidRPr="000257DC" w:rsidRDefault="000257DC" w:rsidP="000257DC">
            <w:pPr>
              <w:jc w:val="both"/>
              <w:rPr>
                <w:rFonts w:ascii="Times New Roman" w:hAnsi="Times New Roman" w:cs="Times New Roman"/>
                <w:i/>
                <w:sz w:val="24"/>
                <w:szCs w:val="24"/>
              </w:rPr>
            </w:pPr>
            <w:r w:rsidRPr="00CB18E8">
              <w:rPr>
                <w:rFonts w:ascii="Times New Roman" w:hAnsi="Times New Roman" w:cs="Times New Roman"/>
                <w:b/>
                <w:bCs/>
                <w:i/>
                <w:sz w:val="24"/>
                <w:szCs w:val="24"/>
              </w:rPr>
              <w:t>v)</w:t>
            </w:r>
            <w:r w:rsidRPr="000257DC">
              <w:rPr>
                <w:rFonts w:ascii="Times New Roman" w:hAnsi="Times New Roman" w:cs="Times New Roman"/>
                <w:i/>
                <w:sz w:val="24"/>
                <w:szCs w:val="24"/>
              </w:rPr>
              <w:tab/>
              <w:t>Consultas, publicidad y seguridad jurídica</w:t>
            </w:r>
          </w:p>
          <w:p w14:paraId="293DBE1C" w14:textId="77777777" w:rsidR="000257DC" w:rsidRPr="000257DC" w:rsidRDefault="000257DC" w:rsidP="000257DC">
            <w:pPr>
              <w:jc w:val="both"/>
              <w:rPr>
                <w:rFonts w:ascii="Times New Roman" w:hAnsi="Times New Roman" w:cs="Times New Roman"/>
                <w:i/>
                <w:sz w:val="24"/>
                <w:szCs w:val="24"/>
              </w:rPr>
            </w:pPr>
          </w:p>
          <w:p w14:paraId="40B31130" w14:textId="78F5C87E"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En cumplimiento del artículo 3 y el numeral 8 del artículo 8 de la Ley 1437 de 2011 y de lo dispuesto en el artículo</w:t>
            </w:r>
            <w:r w:rsidR="009003C5">
              <w:rPr>
                <w:rFonts w:ascii="Times New Roman" w:hAnsi="Times New Roman" w:cs="Times New Roman"/>
                <w:i/>
                <w:sz w:val="24"/>
                <w:szCs w:val="24"/>
              </w:rPr>
              <w:t xml:space="preserve"> 69</w:t>
            </w:r>
            <w:r w:rsidR="000E54FF" w:rsidRPr="000257DC">
              <w:rPr>
                <w:rFonts w:ascii="Times New Roman" w:hAnsi="Times New Roman" w:cs="Times New Roman"/>
                <w:i/>
                <w:sz w:val="24"/>
                <w:szCs w:val="24"/>
              </w:rPr>
              <w:t xml:space="preserve"> </w:t>
            </w:r>
            <w:r w:rsidRPr="000257DC">
              <w:rPr>
                <w:rFonts w:ascii="Times New Roman" w:hAnsi="Times New Roman" w:cs="Times New Roman"/>
                <w:i/>
                <w:sz w:val="24"/>
                <w:szCs w:val="24"/>
              </w:rPr>
              <w:t xml:space="preserve">del Decreto Distrital </w:t>
            </w:r>
            <w:r w:rsidR="000E54FF">
              <w:rPr>
                <w:rFonts w:ascii="Times New Roman" w:hAnsi="Times New Roman" w:cs="Times New Roman"/>
                <w:i/>
                <w:sz w:val="24"/>
                <w:szCs w:val="24"/>
              </w:rPr>
              <w:t>479</w:t>
            </w:r>
            <w:r w:rsidR="000E54FF" w:rsidRPr="000257DC">
              <w:rPr>
                <w:rFonts w:ascii="Times New Roman" w:hAnsi="Times New Roman" w:cs="Times New Roman"/>
                <w:i/>
                <w:sz w:val="24"/>
                <w:szCs w:val="24"/>
              </w:rPr>
              <w:t xml:space="preserve"> </w:t>
            </w:r>
            <w:r w:rsidRPr="000257DC">
              <w:rPr>
                <w:rFonts w:ascii="Times New Roman" w:hAnsi="Times New Roman" w:cs="Times New Roman"/>
                <w:i/>
                <w:sz w:val="24"/>
                <w:szCs w:val="24"/>
              </w:rPr>
              <w:t>de 202</w:t>
            </w:r>
            <w:r w:rsidR="000E54FF">
              <w:rPr>
                <w:rFonts w:ascii="Times New Roman" w:hAnsi="Times New Roman" w:cs="Times New Roman"/>
                <w:i/>
                <w:sz w:val="24"/>
                <w:szCs w:val="24"/>
              </w:rPr>
              <w:t>4</w:t>
            </w:r>
            <w:r w:rsidRPr="000257DC">
              <w:rPr>
                <w:rFonts w:ascii="Times New Roman" w:hAnsi="Times New Roman" w:cs="Times New Roman"/>
                <w:i/>
                <w:sz w:val="24"/>
                <w:szCs w:val="24"/>
              </w:rPr>
              <w:t xml:space="preserve">, el proyecto de Decreto se publicó en la plataforma única de publicación de proyectos de actos administrativos del Distrito Capital – </w:t>
            </w:r>
            <w:proofErr w:type="spellStart"/>
            <w:r w:rsidRPr="000257DC">
              <w:rPr>
                <w:rFonts w:ascii="Times New Roman" w:hAnsi="Times New Roman" w:cs="Times New Roman"/>
                <w:i/>
                <w:sz w:val="24"/>
                <w:szCs w:val="24"/>
              </w:rPr>
              <w:t>LegalBog</w:t>
            </w:r>
            <w:proofErr w:type="spellEnd"/>
            <w:r w:rsidRPr="000257DC">
              <w:rPr>
                <w:rFonts w:ascii="Times New Roman" w:hAnsi="Times New Roman" w:cs="Times New Roman"/>
                <w:i/>
                <w:sz w:val="24"/>
                <w:szCs w:val="24"/>
              </w:rPr>
              <w:t xml:space="preserve">, inicialmente desde el </w:t>
            </w:r>
            <w:r w:rsidR="00DF552D" w:rsidRPr="0087790D">
              <w:rPr>
                <w:rFonts w:ascii="Times New Roman" w:hAnsi="Times New Roman" w:cs="Times New Roman"/>
                <w:i/>
                <w:color w:val="000000" w:themeColor="text1"/>
                <w:sz w:val="24"/>
                <w:szCs w:val="24"/>
              </w:rPr>
              <w:t xml:space="preserve">25 de mayo de 2026 </w:t>
            </w:r>
            <w:r w:rsidRPr="0087790D">
              <w:rPr>
                <w:rFonts w:ascii="Times New Roman" w:hAnsi="Times New Roman" w:cs="Times New Roman"/>
                <w:i/>
                <w:color w:val="000000" w:themeColor="text1"/>
                <w:sz w:val="24"/>
                <w:szCs w:val="24"/>
              </w:rPr>
              <w:t xml:space="preserve">hasta el día </w:t>
            </w:r>
            <w:r w:rsidR="00DF552D" w:rsidRPr="0087790D">
              <w:rPr>
                <w:rFonts w:ascii="Times New Roman" w:hAnsi="Times New Roman" w:cs="Times New Roman"/>
                <w:i/>
                <w:color w:val="000000" w:themeColor="text1"/>
                <w:sz w:val="24"/>
                <w:szCs w:val="24"/>
              </w:rPr>
              <w:t>01 de junio de 2026</w:t>
            </w:r>
            <w:r w:rsidRPr="000257DC">
              <w:rPr>
                <w:rFonts w:ascii="Times New Roman" w:hAnsi="Times New Roman" w:cs="Times New Roman"/>
                <w:i/>
                <w:sz w:val="24"/>
                <w:szCs w:val="24"/>
              </w:rPr>
              <w:t xml:space="preserve">, realizándose las respectivas invitaciones a emitir comentarios por parte de la ciudadanía. </w:t>
            </w:r>
          </w:p>
          <w:p w14:paraId="57F07B6D" w14:textId="77777777" w:rsidR="000257DC" w:rsidRPr="000257DC" w:rsidRDefault="000257DC" w:rsidP="000257DC">
            <w:pPr>
              <w:jc w:val="both"/>
              <w:rPr>
                <w:rFonts w:ascii="Times New Roman" w:hAnsi="Times New Roman" w:cs="Times New Roman"/>
                <w:i/>
                <w:sz w:val="24"/>
                <w:szCs w:val="24"/>
              </w:rPr>
            </w:pPr>
          </w:p>
          <w:p w14:paraId="06334FD6" w14:textId="02248DF9" w:rsidR="000257DC" w:rsidRPr="000257DC" w:rsidRDefault="000257DC" w:rsidP="000257DC">
            <w:pPr>
              <w:jc w:val="both"/>
              <w:rPr>
                <w:rFonts w:ascii="Times New Roman" w:hAnsi="Times New Roman" w:cs="Times New Roman"/>
                <w:i/>
                <w:sz w:val="24"/>
                <w:szCs w:val="24"/>
              </w:rPr>
            </w:pPr>
            <w:r w:rsidRPr="000257DC">
              <w:rPr>
                <w:rFonts w:ascii="Times New Roman" w:hAnsi="Times New Roman" w:cs="Times New Roman"/>
                <w:i/>
                <w:sz w:val="24"/>
                <w:szCs w:val="24"/>
              </w:rPr>
              <w:t>El proyecto cumple con las directrices de</w:t>
            </w:r>
            <w:r w:rsidR="0087790D">
              <w:rPr>
                <w:rFonts w:ascii="Times New Roman" w:hAnsi="Times New Roman" w:cs="Times New Roman"/>
                <w:i/>
                <w:sz w:val="24"/>
                <w:szCs w:val="24"/>
              </w:rPr>
              <w:t>l “Manual Distrital de T</w:t>
            </w:r>
            <w:r w:rsidRPr="000257DC">
              <w:rPr>
                <w:rFonts w:ascii="Times New Roman" w:hAnsi="Times New Roman" w:cs="Times New Roman"/>
                <w:i/>
                <w:sz w:val="24"/>
                <w:szCs w:val="24"/>
              </w:rPr>
              <w:t>écnica</w:t>
            </w:r>
            <w:r w:rsidR="0087790D">
              <w:rPr>
                <w:rFonts w:ascii="Times New Roman" w:hAnsi="Times New Roman" w:cs="Times New Roman"/>
                <w:i/>
                <w:sz w:val="24"/>
                <w:szCs w:val="24"/>
              </w:rPr>
              <w:t xml:space="preserve"> N</w:t>
            </w:r>
            <w:r w:rsidRPr="000257DC">
              <w:rPr>
                <w:rFonts w:ascii="Times New Roman" w:hAnsi="Times New Roman" w:cs="Times New Roman"/>
                <w:i/>
                <w:sz w:val="24"/>
                <w:szCs w:val="24"/>
              </w:rPr>
              <w:t>ormativa</w:t>
            </w:r>
            <w:r w:rsidR="0087790D">
              <w:rPr>
                <w:rFonts w:ascii="Times New Roman" w:hAnsi="Times New Roman" w:cs="Times New Roman"/>
                <w:i/>
                <w:sz w:val="24"/>
                <w:szCs w:val="24"/>
              </w:rPr>
              <w:t>”,</w:t>
            </w:r>
            <w:r w:rsidRPr="000257DC">
              <w:rPr>
                <w:rFonts w:ascii="Times New Roman" w:hAnsi="Times New Roman" w:cs="Times New Roman"/>
                <w:i/>
                <w:sz w:val="24"/>
                <w:szCs w:val="24"/>
              </w:rPr>
              <w:t xml:space="preserve"> </w:t>
            </w:r>
            <w:r w:rsidR="0087790D">
              <w:rPr>
                <w:rFonts w:ascii="Times New Roman" w:hAnsi="Times New Roman" w:cs="Times New Roman"/>
                <w:i/>
                <w:sz w:val="24"/>
                <w:szCs w:val="24"/>
              </w:rPr>
              <w:t>adoptado a través del artículo 80.1 del Decreto Distrital 479 de 2026</w:t>
            </w:r>
            <w:r w:rsidRPr="000257DC">
              <w:rPr>
                <w:rFonts w:ascii="Times New Roman" w:hAnsi="Times New Roman" w:cs="Times New Roman"/>
                <w:i/>
                <w:sz w:val="24"/>
                <w:szCs w:val="24"/>
              </w:rPr>
              <w:t>.</w:t>
            </w:r>
          </w:p>
          <w:p w14:paraId="4F934531" w14:textId="77777777" w:rsidR="000257DC" w:rsidRDefault="000257DC" w:rsidP="004E4247">
            <w:pPr>
              <w:rPr>
                <w:rFonts w:ascii="Times New Roman" w:hAnsi="Times New Roman" w:cs="Times New Roman"/>
                <w:i/>
                <w:color w:val="767171" w:themeColor="background2" w:themeShade="80"/>
                <w:sz w:val="24"/>
                <w:szCs w:val="24"/>
              </w:rPr>
            </w:pPr>
          </w:p>
          <w:p w14:paraId="78E10692" w14:textId="77777777" w:rsidR="0087790D" w:rsidRDefault="0087790D" w:rsidP="004E4247">
            <w:pPr>
              <w:rPr>
                <w:rFonts w:ascii="Times New Roman" w:hAnsi="Times New Roman" w:cs="Times New Roman"/>
                <w:i/>
                <w:color w:val="767171" w:themeColor="background2" w:themeShade="80"/>
                <w:sz w:val="24"/>
                <w:szCs w:val="24"/>
              </w:rPr>
            </w:pPr>
          </w:p>
          <w:p w14:paraId="5F8CB048" w14:textId="39B78AC4" w:rsidR="0063653F" w:rsidRPr="0087790D" w:rsidRDefault="0063653F" w:rsidP="0087790D">
            <w:pPr>
              <w:rPr>
                <w:rFonts w:ascii="Times New Roman" w:hAnsi="Times New Roman" w:cs="Times New Roman"/>
                <w:i/>
                <w:sz w:val="24"/>
                <w:szCs w:val="24"/>
              </w:rPr>
            </w:pPr>
          </w:p>
        </w:tc>
      </w:tr>
      <w:tr w:rsidR="003A7E0E" w:rsidRPr="0006315B" w14:paraId="48BEB2CB" w14:textId="77777777" w:rsidTr="003A7E0E">
        <w:tc>
          <w:tcPr>
            <w:tcW w:w="10070" w:type="dxa"/>
          </w:tcPr>
          <w:p w14:paraId="289DCC98" w14:textId="77777777" w:rsidR="003A7E0E" w:rsidRPr="004979E6" w:rsidRDefault="00573DE6" w:rsidP="00F70D76">
            <w:pPr>
              <w:jc w:val="center"/>
              <w:rPr>
                <w:rFonts w:ascii="Times New Roman" w:hAnsi="Times New Roman" w:cs="Times New Roman"/>
                <w:b/>
                <w:sz w:val="24"/>
                <w:szCs w:val="24"/>
              </w:rPr>
            </w:pPr>
            <w:r>
              <w:rPr>
                <w:rFonts w:ascii="Times New Roman" w:hAnsi="Times New Roman" w:cs="Times New Roman"/>
                <w:b/>
                <w:sz w:val="24"/>
                <w:szCs w:val="24"/>
              </w:rPr>
              <w:lastRenderedPageBreak/>
              <w:t>RECURSOS</w:t>
            </w:r>
            <w:r w:rsidR="004979E6">
              <w:rPr>
                <w:rFonts w:ascii="Times New Roman" w:hAnsi="Times New Roman" w:cs="Times New Roman"/>
                <w:b/>
                <w:sz w:val="24"/>
                <w:szCs w:val="24"/>
              </w:rPr>
              <w:t xml:space="preserve"> DE FINANCIACIÓN PARA LA IMPLEMENTACIÓN DEL PROYECTO NORMATIVO</w:t>
            </w:r>
          </w:p>
        </w:tc>
      </w:tr>
      <w:tr w:rsidR="003A7E0E" w:rsidRPr="0006315B" w14:paraId="1AAD65A2" w14:textId="77777777" w:rsidTr="003A7E0E">
        <w:tc>
          <w:tcPr>
            <w:tcW w:w="10070" w:type="dxa"/>
          </w:tcPr>
          <w:p w14:paraId="62515C52" w14:textId="77777777" w:rsidR="00CB18E8" w:rsidRPr="00CB18E8" w:rsidRDefault="00CB18E8" w:rsidP="00CB18E8">
            <w:pPr>
              <w:jc w:val="both"/>
              <w:rPr>
                <w:rFonts w:ascii="Times New Roman" w:hAnsi="Times New Roman" w:cs="Times New Roman"/>
                <w:i/>
                <w:sz w:val="24"/>
                <w:szCs w:val="24"/>
              </w:rPr>
            </w:pPr>
            <w:r w:rsidRPr="00CB18E8">
              <w:rPr>
                <w:rFonts w:ascii="Times New Roman" w:hAnsi="Times New Roman" w:cs="Times New Roman"/>
                <w:i/>
                <w:sz w:val="24"/>
                <w:szCs w:val="24"/>
              </w:rPr>
              <w:t>Para la implementación de proyecto se cuentan con los recursos presupuestales asignados a la Subdirección de Vigilancia en Salud Pública para las acciones de Inspección, Vigilancia y Control higiénico-sanitarios en el Distrito Capital.</w:t>
            </w:r>
          </w:p>
          <w:p w14:paraId="664F9638" w14:textId="77777777" w:rsidR="00CB18E8" w:rsidRPr="00CB18E8" w:rsidRDefault="00CB18E8" w:rsidP="00CB18E8">
            <w:pPr>
              <w:jc w:val="both"/>
              <w:rPr>
                <w:rFonts w:ascii="Times New Roman" w:hAnsi="Times New Roman" w:cs="Times New Roman"/>
                <w:i/>
                <w:sz w:val="24"/>
                <w:szCs w:val="24"/>
              </w:rPr>
            </w:pPr>
          </w:p>
          <w:p w14:paraId="1642D9C8" w14:textId="77777777" w:rsidR="00CB18E8" w:rsidRPr="00CB18E8" w:rsidRDefault="00CB18E8" w:rsidP="00CB18E8">
            <w:pPr>
              <w:jc w:val="both"/>
              <w:rPr>
                <w:rFonts w:ascii="Times New Roman" w:hAnsi="Times New Roman" w:cs="Times New Roman"/>
                <w:b/>
                <w:bCs/>
                <w:i/>
                <w:sz w:val="24"/>
                <w:szCs w:val="24"/>
              </w:rPr>
            </w:pPr>
            <w:r w:rsidRPr="00CB18E8">
              <w:rPr>
                <w:rFonts w:ascii="Times New Roman" w:hAnsi="Times New Roman" w:cs="Times New Roman"/>
                <w:b/>
                <w:bCs/>
                <w:i/>
                <w:sz w:val="24"/>
                <w:szCs w:val="24"/>
              </w:rPr>
              <w:t>i)</w:t>
            </w:r>
            <w:r w:rsidRPr="00CB18E8">
              <w:rPr>
                <w:rFonts w:ascii="Times New Roman" w:hAnsi="Times New Roman" w:cs="Times New Roman"/>
                <w:b/>
                <w:bCs/>
                <w:i/>
                <w:sz w:val="24"/>
                <w:szCs w:val="24"/>
              </w:rPr>
              <w:tab/>
              <w:t>Disponibilidad presupuestal</w:t>
            </w:r>
          </w:p>
          <w:p w14:paraId="1DA995AA" w14:textId="77777777" w:rsidR="00CB18E8" w:rsidRPr="00CB18E8" w:rsidRDefault="00CB18E8" w:rsidP="00CB18E8">
            <w:pPr>
              <w:jc w:val="both"/>
              <w:rPr>
                <w:rFonts w:ascii="Times New Roman" w:hAnsi="Times New Roman" w:cs="Times New Roman"/>
                <w:i/>
                <w:sz w:val="24"/>
                <w:szCs w:val="24"/>
              </w:rPr>
            </w:pPr>
            <w:r w:rsidRPr="00CB18E8">
              <w:rPr>
                <w:rFonts w:ascii="Times New Roman" w:hAnsi="Times New Roman" w:cs="Times New Roman"/>
                <w:i/>
                <w:sz w:val="24"/>
                <w:szCs w:val="24"/>
              </w:rPr>
              <w:t xml:space="preserve"> </w:t>
            </w:r>
          </w:p>
          <w:p w14:paraId="4D700EB0" w14:textId="0DDF6397" w:rsidR="00CB18E8" w:rsidRDefault="00CB18E8" w:rsidP="00CB18E8">
            <w:pPr>
              <w:jc w:val="both"/>
              <w:rPr>
                <w:rFonts w:ascii="Times New Roman" w:hAnsi="Times New Roman" w:cs="Times New Roman"/>
                <w:i/>
                <w:sz w:val="24"/>
                <w:szCs w:val="24"/>
              </w:rPr>
            </w:pPr>
            <w:r w:rsidRPr="00CB18E8">
              <w:rPr>
                <w:rFonts w:ascii="Times New Roman" w:hAnsi="Times New Roman" w:cs="Times New Roman"/>
                <w:i/>
                <w:sz w:val="24"/>
                <w:szCs w:val="24"/>
              </w:rPr>
              <w:t>La expedición de la Resolución por la cual “Por medio de la cual se deroga la Resolución Conjunta 182-230 del 1 de marzo de 2013 suscrita entre la Secretaría Distrital de Salud y la Secretaría Distrital de Integración Social” no requiere de certificado de disponibilidad presupuestal.</w:t>
            </w:r>
          </w:p>
          <w:p w14:paraId="28C20995" w14:textId="77777777" w:rsidR="0087790D" w:rsidRPr="00CB18E8" w:rsidRDefault="0087790D" w:rsidP="00CB18E8">
            <w:pPr>
              <w:jc w:val="both"/>
              <w:rPr>
                <w:rFonts w:ascii="Times New Roman" w:hAnsi="Times New Roman" w:cs="Times New Roman"/>
                <w:i/>
                <w:sz w:val="24"/>
                <w:szCs w:val="24"/>
              </w:rPr>
            </w:pPr>
          </w:p>
          <w:p w14:paraId="56DDEBD6" w14:textId="4F673CA2" w:rsidR="003A7E0E" w:rsidRPr="00622F43" w:rsidRDefault="003A7E0E" w:rsidP="0087790D">
            <w:pPr>
              <w:rPr>
                <w:rFonts w:ascii="Times New Roman" w:hAnsi="Times New Roman" w:cs="Times New Roman"/>
                <w:i/>
                <w:sz w:val="24"/>
                <w:szCs w:val="24"/>
              </w:rPr>
            </w:pPr>
          </w:p>
        </w:tc>
      </w:tr>
      <w:tr w:rsidR="003A7E0E" w:rsidRPr="0006315B" w14:paraId="476A6F64" w14:textId="77777777" w:rsidTr="003A7E0E">
        <w:tc>
          <w:tcPr>
            <w:tcW w:w="10070" w:type="dxa"/>
          </w:tcPr>
          <w:p w14:paraId="0920B91E" w14:textId="77777777" w:rsidR="003A7E0E" w:rsidRPr="00D72F69" w:rsidRDefault="00D72F69" w:rsidP="00F70D76">
            <w:pPr>
              <w:jc w:val="center"/>
              <w:rPr>
                <w:rFonts w:ascii="Times New Roman" w:hAnsi="Times New Roman" w:cs="Times New Roman"/>
                <w:b/>
                <w:sz w:val="24"/>
                <w:szCs w:val="24"/>
              </w:rPr>
            </w:pPr>
            <w:r w:rsidRPr="00D72F69">
              <w:rPr>
                <w:rFonts w:ascii="Times New Roman" w:hAnsi="Times New Roman" w:cs="Times New Roman"/>
                <w:b/>
                <w:sz w:val="24"/>
                <w:szCs w:val="24"/>
              </w:rPr>
              <w:t xml:space="preserve">IMPACTO MEDIOAMBIENTAL O SOBRE </w:t>
            </w:r>
            <w:r>
              <w:rPr>
                <w:rFonts w:ascii="Times New Roman" w:hAnsi="Times New Roman" w:cs="Times New Roman"/>
                <w:b/>
                <w:sz w:val="24"/>
                <w:szCs w:val="24"/>
              </w:rPr>
              <w:t>EL PATRIMONIO CULTURAL DISTRITAL</w:t>
            </w:r>
          </w:p>
        </w:tc>
      </w:tr>
      <w:tr w:rsidR="003A7E0E" w:rsidRPr="0006315B" w14:paraId="0EBFD98E" w14:textId="77777777" w:rsidTr="003A7E0E">
        <w:tc>
          <w:tcPr>
            <w:tcW w:w="10070" w:type="dxa"/>
          </w:tcPr>
          <w:p w14:paraId="24750A7F" w14:textId="77777777" w:rsidR="0087790D" w:rsidRDefault="0087790D" w:rsidP="00CB18E8">
            <w:pPr>
              <w:jc w:val="both"/>
              <w:rPr>
                <w:rFonts w:ascii="Times New Roman" w:hAnsi="Times New Roman" w:cs="Times New Roman"/>
                <w:i/>
                <w:sz w:val="24"/>
                <w:szCs w:val="24"/>
              </w:rPr>
            </w:pPr>
          </w:p>
          <w:p w14:paraId="4A2E2382" w14:textId="36F65DB0" w:rsidR="00CB18E8" w:rsidRPr="00CB18E8" w:rsidRDefault="00CB18E8" w:rsidP="00CB18E8">
            <w:pPr>
              <w:jc w:val="both"/>
              <w:rPr>
                <w:rFonts w:ascii="Times New Roman" w:hAnsi="Times New Roman" w:cs="Times New Roman"/>
                <w:i/>
                <w:sz w:val="24"/>
                <w:szCs w:val="24"/>
              </w:rPr>
            </w:pPr>
            <w:r w:rsidRPr="00CB18E8">
              <w:rPr>
                <w:rFonts w:ascii="Times New Roman" w:hAnsi="Times New Roman" w:cs="Times New Roman"/>
                <w:i/>
                <w:sz w:val="24"/>
                <w:szCs w:val="24"/>
              </w:rPr>
              <w:t>El proyecto de acto administrativo no tiene impacto ambiental o sobre el patrimonio cultural, pues el objetivo es deroga</w:t>
            </w:r>
            <w:r>
              <w:rPr>
                <w:rFonts w:ascii="Times New Roman" w:hAnsi="Times New Roman" w:cs="Times New Roman"/>
                <w:i/>
                <w:sz w:val="24"/>
                <w:szCs w:val="24"/>
              </w:rPr>
              <w:t>r</w:t>
            </w:r>
            <w:r w:rsidRPr="00CB18E8">
              <w:rPr>
                <w:rFonts w:ascii="Times New Roman" w:hAnsi="Times New Roman" w:cs="Times New Roman"/>
                <w:i/>
                <w:sz w:val="24"/>
                <w:szCs w:val="24"/>
              </w:rPr>
              <w:t xml:space="preserve"> la Resolución Conjunta 182-230 del 1 de marzo de 2013 suscrita entre la Secretaría Distrital de Salud y la Secretaría Distrital de Integración Social en Bogotá Distrito Capital, con el fin de aplicar estos criterios a las acciones de Inspección, Vigilancia y Control</w:t>
            </w:r>
            <w:r>
              <w:rPr>
                <w:rFonts w:ascii="Times New Roman" w:hAnsi="Times New Roman" w:cs="Times New Roman"/>
                <w:i/>
                <w:sz w:val="24"/>
                <w:szCs w:val="24"/>
              </w:rPr>
              <w:t>.</w:t>
            </w:r>
          </w:p>
          <w:p w14:paraId="2E0F6A42" w14:textId="77777777" w:rsidR="00CB18E8" w:rsidRDefault="00CB18E8" w:rsidP="00F70D76">
            <w:pPr>
              <w:jc w:val="center"/>
              <w:rPr>
                <w:rFonts w:ascii="Times New Roman" w:hAnsi="Times New Roman" w:cs="Times New Roman"/>
                <w:i/>
                <w:color w:val="767171" w:themeColor="background2" w:themeShade="80"/>
                <w:sz w:val="24"/>
                <w:szCs w:val="24"/>
              </w:rPr>
            </w:pPr>
          </w:p>
          <w:p w14:paraId="594031B5" w14:textId="468DEF04" w:rsidR="003A7E0E" w:rsidRPr="00955A73" w:rsidRDefault="003A7E0E" w:rsidP="0087790D">
            <w:pPr>
              <w:rPr>
                <w:rFonts w:ascii="Times New Roman" w:hAnsi="Times New Roman" w:cs="Times New Roman"/>
                <w:i/>
                <w:sz w:val="24"/>
                <w:szCs w:val="24"/>
              </w:rPr>
            </w:pPr>
          </w:p>
        </w:tc>
      </w:tr>
    </w:tbl>
    <w:p w14:paraId="7109C62B" w14:textId="455DDC8F" w:rsidR="003A7E0E" w:rsidRDefault="003A7E0E">
      <w:pPr>
        <w:rPr>
          <w:rFonts w:ascii="Times New Roman" w:hAnsi="Times New Roman" w:cs="Times New Roman"/>
          <w:sz w:val="24"/>
          <w:szCs w:val="24"/>
        </w:rPr>
      </w:pPr>
    </w:p>
    <w:p w14:paraId="3CE32FBE" w14:textId="77777777" w:rsidR="0071131C" w:rsidRDefault="0071131C">
      <w:pP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3114"/>
        <w:gridCol w:w="6956"/>
      </w:tblGrid>
      <w:tr w:rsidR="00685A31" w14:paraId="04C62006" w14:textId="77777777" w:rsidTr="0068537E">
        <w:tc>
          <w:tcPr>
            <w:tcW w:w="10070" w:type="dxa"/>
            <w:gridSpan w:val="2"/>
          </w:tcPr>
          <w:p w14:paraId="1F04588F" w14:textId="77777777" w:rsidR="00685A31" w:rsidRPr="00685A31" w:rsidRDefault="00685A31" w:rsidP="00685A31">
            <w:pPr>
              <w:jc w:val="center"/>
              <w:rPr>
                <w:rFonts w:ascii="Times New Roman" w:hAnsi="Times New Roman" w:cs="Times New Roman"/>
                <w:b/>
                <w:sz w:val="24"/>
                <w:szCs w:val="24"/>
              </w:rPr>
            </w:pPr>
            <w:r>
              <w:rPr>
                <w:rFonts w:ascii="Times New Roman" w:hAnsi="Times New Roman" w:cs="Times New Roman"/>
                <w:b/>
                <w:sz w:val="24"/>
                <w:szCs w:val="24"/>
              </w:rPr>
              <w:t>ANEXOS</w:t>
            </w:r>
          </w:p>
        </w:tc>
      </w:tr>
      <w:tr w:rsidR="00DF552D" w14:paraId="64FB7492" w14:textId="77777777" w:rsidTr="00E141C1">
        <w:tc>
          <w:tcPr>
            <w:tcW w:w="3114" w:type="dxa"/>
          </w:tcPr>
          <w:p w14:paraId="3FC730E4" w14:textId="2AB4841E" w:rsidR="00DF552D" w:rsidRDefault="00DF552D" w:rsidP="00DF552D">
            <w:pPr>
              <w:jc w:val="both"/>
              <w:rPr>
                <w:rFonts w:ascii="Times New Roman" w:hAnsi="Times New Roman" w:cs="Times New Roman"/>
                <w:sz w:val="24"/>
                <w:szCs w:val="24"/>
              </w:rPr>
            </w:pPr>
            <w:r>
              <w:rPr>
                <w:rFonts w:ascii="Times New Roman" w:hAnsi="Times New Roman" w:cs="Times New Roman"/>
                <w:sz w:val="24"/>
                <w:szCs w:val="24"/>
              </w:rPr>
              <w:t xml:space="preserve">Certificación de publicación en el portal </w:t>
            </w:r>
            <w:proofErr w:type="spellStart"/>
            <w:r>
              <w:rPr>
                <w:rFonts w:ascii="Times New Roman" w:hAnsi="Times New Roman" w:cs="Times New Roman"/>
                <w:sz w:val="24"/>
                <w:szCs w:val="24"/>
              </w:rPr>
              <w:t>LegalBog</w:t>
            </w:r>
            <w:proofErr w:type="spellEnd"/>
            <w:r>
              <w:rPr>
                <w:rFonts w:ascii="Times New Roman" w:hAnsi="Times New Roman" w:cs="Times New Roman"/>
                <w:sz w:val="24"/>
                <w:szCs w:val="24"/>
              </w:rPr>
              <w:t xml:space="preserve"> Participa. </w:t>
            </w:r>
          </w:p>
        </w:tc>
        <w:tc>
          <w:tcPr>
            <w:tcW w:w="6956" w:type="dxa"/>
          </w:tcPr>
          <w:p w14:paraId="2C8E40DC" w14:textId="77777777" w:rsidR="00DF552D" w:rsidRDefault="00DF552D" w:rsidP="00DF552D">
            <w:pPr>
              <w:jc w:val="both"/>
              <w:rPr>
                <w:rFonts w:ascii="Times New Roman" w:hAnsi="Times New Roman" w:cs="Times New Roman"/>
                <w:sz w:val="24"/>
                <w:szCs w:val="24"/>
              </w:rPr>
            </w:pPr>
            <w:r w:rsidRPr="00DD760B">
              <w:rPr>
                <w:rFonts w:ascii="Times New Roman" w:hAnsi="Times New Roman" w:cs="Times New Roman"/>
                <w:sz w:val="24"/>
                <w:szCs w:val="24"/>
              </w:rPr>
              <w:t xml:space="preserve">Publicado en el Sistema </w:t>
            </w:r>
            <w:proofErr w:type="spellStart"/>
            <w:r w:rsidRPr="00DD760B">
              <w:rPr>
                <w:rFonts w:ascii="Times New Roman" w:hAnsi="Times New Roman" w:cs="Times New Roman"/>
                <w:sz w:val="24"/>
                <w:szCs w:val="24"/>
              </w:rPr>
              <w:t>LegalBog</w:t>
            </w:r>
            <w:proofErr w:type="spellEnd"/>
            <w:r w:rsidRPr="00DD760B">
              <w:rPr>
                <w:rFonts w:ascii="Times New Roman" w:hAnsi="Times New Roman" w:cs="Times New Roman"/>
                <w:sz w:val="24"/>
                <w:szCs w:val="24"/>
              </w:rPr>
              <w:t xml:space="preserve"> desde el 25 de mayo </w:t>
            </w:r>
            <w:r w:rsidR="00D922E3">
              <w:rPr>
                <w:rFonts w:ascii="Times New Roman" w:hAnsi="Times New Roman" w:cs="Times New Roman"/>
                <w:sz w:val="24"/>
                <w:szCs w:val="24"/>
              </w:rPr>
              <w:t>hasta el</w:t>
            </w:r>
            <w:r w:rsidRPr="00DD760B">
              <w:rPr>
                <w:rFonts w:ascii="Times New Roman" w:hAnsi="Times New Roman" w:cs="Times New Roman"/>
                <w:sz w:val="24"/>
                <w:szCs w:val="24"/>
              </w:rPr>
              <w:t xml:space="preserve"> 01 de junio de </w:t>
            </w:r>
            <w:r w:rsidR="0087790D" w:rsidRPr="00DD760B">
              <w:rPr>
                <w:rFonts w:ascii="Times New Roman" w:hAnsi="Times New Roman" w:cs="Times New Roman"/>
                <w:sz w:val="24"/>
                <w:szCs w:val="24"/>
              </w:rPr>
              <w:t>2026.</w:t>
            </w:r>
            <w:r w:rsidRPr="00DD760B">
              <w:rPr>
                <w:rFonts w:ascii="Times New Roman" w:hAnsi="Times New Roman" w:cs="Times New Roman"/>
                <w:sz w:val="24"/>
                <w:szCs w:val="24"/>
              </w:rPr>
              <w:t xml:space="preserve"> Se adjuntan dos (2) folios de la certificación de la publicación en el Sistema </w:t>
            </w:r>
            <w:proofErr w:type="spellStart"/>
            <w:r w:rsidRPr="00DD760B">
              <w:rPr>
                <w:rFonts w:ascii="Times New Roman" w:hAnsi="Times New Roman" w:cs="Times New Roman"/>
                <w:sz w:val="24"/>
                <w:szCs w:val="24"/>
              </w:rPr>
              <w:t>LegalBog</w:t>
            </w:r>
            <w:proofErr w:type="spellEnd"/>
            <w:r w:rsidRPr="00DD760B">
              <w:rPr>
                <w:rFonts w:ascii="Times New Roman" w:hAnsi="Times New Roman" w:cs="Times New Roman"/>
                <w:sz w:val="24"/>
                <w:szCs w:val="24"/>
              </w:rPr>
              <w:t>.</w:t>
            </w:r>
          </w:p>
          <w:p w14:paraId="57AB62D5" w14:textId="1D0C050B" w:rsidR="0087790D" w:rsidRDefault="0087790D" w:rsidP="00DF552D">
            <w:pPr>
              <w:jc w:val="both"/>
              <w:rPr>
                <w:rFonts w:ascii="Times New Roman" w:hAnsi="Times New Roman" w:cs="Times New Roman"/>
                <w:sz w:val="24"/>
                <w:szCs w:val="24"/>
              </w:rPr>
            </w:pPr>
          </w:p>
        </w:tc>
      </w:tr>
      <w:tr w:rsidR="00685A31" w14:paraId="7897217B" w14:textId="77777777" w:rsidTr="00E141C1">
        <w:tc>
          <w:tcPr>
            <w:tcW w:w="3114" w:type="dxa"/>
          </w:tcPr>
          <w:p w14:paraId="1DB3F429" w14:textId="4910B98A" w:rsidR="00685A31" w:rsidRDefault="00D14D24" w:rsidP="0068537E">
            <w:pPr>
              <w:jc w:val="both"/>
              <w:rPr>
                <w:rFonts w:ascii="Times New Roman" w:hAnsi="Times New Roman" w:cs="Times New Roman"/>
                <w:sz w:val="24"/>
                <w:szCs w:val="24"/>
              </w:rPr>
            </w:pPr>
            <w:r>
              <w:rPr>
                <w:rFonts w:ascii="Times New Roman" w:hAnsi="Times New Roman" w:cs="Times New Roman"/>
                <w:sz w:val="24"/>
                <w:szCs w:val="24"/>
              </w:rPr>
              <w:t>Matriz de observacione</w:t>
            </w:r>
            <w:r w:rsidR="0068537E">
              <w:rPr>
                <w:rFonts w:ascii="Times New Roman" w:hAnsi="Times New Roman" w:cs="Times New Roman"/>
                <w:sz w:val="24"/>
                <w:szCs w:val="24"/>
              </w:rPr>
              <w:t>s y respuestas</w:t>
            </w:r>
            <w:r w:rsidR="00E141C1">
              <w:rPr>
                <w:rFonts w:ascii="Times New Roman" w:hAnsi="Times New Roman" w:cs="Times New Roman"/>
                <w:sz w:val="24"/>
                <w:szCs w:val="24"/>
              </w:rPr>
              <w:t>.</w:t>
            </w:r>
          </w:p>
        </w:tc>
        <w:tc>
          <w:tcPr>
            <w:tcW w:w="6956" w:type="dxa"/>
          </w:tcPr>
          <w:p w14:paraId="583E4D96" w14:textId="77777777" w:rsidR="0087790D" w:rsidRDefault="0087790D" w:rsidP="00E141C1">
            <w:pPr>
              <w:jc w:val="both"/>
              <w:rPr>
                <w:rFonts w:ascii="Times New Roman" w:hAnsi="Times New Roman" w:cs="Times New Roman"/>
                <w:i/>
                <w:color w:val="000000" w:themeColor="text1"/>
                <w:sz w:val="24"/>
                <w:szCs w:val="24"/>
              </w:rPr>
            </w:pPr>
          </w:p>
          <w:p w14:paraId="07104B2C" w14:textId="1720969A" w:rsidR="00685A31" w:rsidRDefault="0087790D" w:rsidP="00E141C1">
            <w:pPr>
              <w:jc w:val="both"/>
              <w:rPr>
                <w:rFonts w:ascii="Times New Roman" w:hAnsi="Times New Roman" w:cs="Times New Roman"/>
                <w:color w:val="000000" w:themeColor="text1"/>
                <w:sz w:val="24"/>
                <w:szCs w:val="24"/>
              </w:rPr>
            </w:pPr>
            <w:r w:rsidRPr="0087790D">
              <w:rPr>
                <w:rFonts w:ascii="Times New Roman" w:hAnsi="Times New Roman" w:cs="Times New Roman"/>
                <w:i/>
                <w:color w:val="000000" w:themeColor="text1"/>
                <w:sz w:val="24"/>
                <w:szCs w:val="24"/>
              </w:rPr>
              <w:t>El Proyecto de Resolución no presentó comentarios a resolver.</w:t>
            </w:r>
            <w:r w:rsidR="00E141C1" w:rsidRPr="0087790D">
              <w:rPr>
                <w:rFonts w:ascii="Times New Roman" w:hAnsi="Times New Roman" w:cs="Times New Roman"/>
                <w:i/>
                <w:color w:val="000000" w:themeColor="text1"/>
                <w:sz w:val="24"/>
                <w:szCs w:val="24"/>
              </w:rPr>
              <w:t xml:space="preserve"> </w:t>
            </w:r>
            <w:r w:rsidR="00E141C1" w:rsidRPr="0087790D">
              <w:rPr>
                <w:rFonts w:ascii="Times New Roman" w:hAnsi="Times New Roman" w:cs="Times New Roman"/>
                <w:color w:val="000000" w:themeColor="text1"/>
                <w:sz w:val="24"/>
                <w:szCs w:val="24"/>
              </w:rPr>
              <w:t xml:space="preserve">  </w:t>
            </w:r>
          </w:p>
          <w:p w14:paraId="1BAA8AAF" w14:textId="6AF4316C" w:rsidR="0087790D" w:rsidRPr="00E141C1" w:rsidRDefault="0087790D" w:rsidP="00E141C1">
            <w:pPr>
              <w:jc w:val="both"/>
              <w:rPr>
                <w:rFonts w:ascii="Times New Roman" w:hAnsi="Times New Roman" w:cs="Times New Roman"/>
                <w:i/>
                <w:color w:val="595959" w:themeColor="text1" w:themeTint="A6"/>
                <w:sz w:val="24"/>
                <w:szCs w:val="24"/>
              </w:rPr>
            </w:pPr>
          </w:p>
        </w:tc>
      </w:tr>
      <w:tr w:rsidR="00685A31" w14:paraId="63EEC0BC" w14:textId="77777777" w:rsidTr="00E141C1">
        <w:tc>
          <w:tcPr>
            <w:tcW w:w="3114" w:type="dxa"/>
          </w:tcPr>
          <w:p w14:paraId="58EC5794" w14:textId="4F1A3DE6" w:rsidR="00685A31" w:rsidRPr="00E141C1" w:rsidRDefault="00E141C1" w:rsidP="00E141C1">
            <w:pPr>
              <w:jc w:val="both"/>
              <w:rPr>
                <w:rFonts w:ascii="Times New Roman" w:hAnsi="Times New Roman" w:cs="Times New Roman"/>
                <w:sz w:val="24"/>
                <w:szCs w:val="24"/>
              </w:rPr>
            </w:pPr>
            <w:r>
              <w:rPr>
                <w:rFonts w:ascii="Times New Roman" w:hAnsi="Times New Roman" w:cs="Times New Roman"/>
                <w:sz w:val="24"/>
                <w:szCs w:val="24"/>
              </w:rPr>
              <w:t>Certificados</w:t>
            </w:r>
            <w:r w:rsidR="0068537E">
              <w:rPr>
                <w:rFonts w:ascii="Times New Roman" w:hAnsi="Times New Roman" w:cs="Times New Roman"/>
                <w:sz w:val="24"/>
                <w:szCs w:val="24"/>
              </w:rPr>
              <w:t xml:space="preserve">, conceptos </w:t>
            </w:r>
            <w:r>
              <w:rPr>
                <w:rFonts w:ascii="Times New Roman" w:hAnsi="Times New Roman" w:cs="Times New Roman"/>
                <w:sz w:val="24"/>
                <w:szCs w:val="24"/>
              </w:rPr>
              <w:t xml:space="preserve">y vistos buenos exigidos en la normatividad vigente cuando aplique. </w:t>
            </w:r>
          </w:p>
        </w:tc>
        <w:tc>
          <w:tcPr>
            <w:tcW w:w="6956" w:type="dxa"/>
          </w:tcPr>
          <w:p w14:paraId="7388E0C0" w14:textId="77777777" w:rsidR="0087790D" w:rsidRDefault="0087790D" w:rsidP="0087790D">
            <w:pPr>
              <w:jc w:val="both"/>
              <w:rPr>
                <w:rFonts w:ascii="Times New Roman" w:hAnsi="Times New Roman" w:cs="Times New Roman"/>
                <w:color w:val="000000" w:themeColor="text1"/>
                <w:sz w:val="24"/>
                <w:szCs w:val="24"/>
              </w:rPr>
            </w:pPr>
          </w:p>
          <w:p w14:paraId="0F15232B" w14:textId="77777777" w:rsidR="0071131C" w:rsidRDefault="00D922E3" w:rsidP="0087790D">
            <w:pPr>
              <w:jc w:val="both"/>
              <w:rPr>
                <w:rFonts w:ascii="Times New Roman" w:hAnsi="Times New Roman" w:cs="Times New Roman"/>
                <w:i/>
                <w:color w:val="595959" w:themeColor="text1" w:themeTint="A6"/>
                <w:sz w:val="24"/>
                <w:szCs w:val="24"/>
              </w:rPr>
            </w:pPr>
            <w:r w:rsidRPr="0087790D">
              <w:rPr>
                <w:rFonts w:ascii="Times New Roman" w:hAnsi="Times New Roman" w:cs="Times New Roman"/>
                <w:color w:val="000000" w:themeColor="text1"/>
                <w:sz w:val="24"/>
                <w:szCs w:val="24"/>
              </w:rPr>
              <w:t xml:space="preserve">Publicado en el Sistema </w:t>
            </w:r>
            <w:proofErr w:type="spellStart"/>
            <w:r w:rsidRPr="0087790D">
              <w:rPr>
                <w:rFonts w:ascii="Times New Roman" w:hAnsi="Times New Roman" w:cs="Times New Roman"/>
                <w:color w:val="000000" w:themeColor="text1"/>
                <w:sz w:val="24"/>
                <w:szCs w:val="24"/>
              </w:rPr>
              <w:t>LegalBog</w:t>
            </w:r>
            <w:proofErr w:type="spellEnd"/>
            <w:r w:rsidRPr="0087790D">
              <w:rPr>
                <w:rFonts w:ascii="Times New Roman" w:hAnsi="Times New Roman" w:cs="Times New Roman"/>
                <w:color w:val="000000" w:themeColor="text1"/>
                <w:sz w:val="24"/>
                <w:szCs w:val="24"/>
              </w:rPr>
              <w:t xml:space="preserve"> desde el 25 de mayo al 01 de junio de </w:t>
            </w:r>
            <w:r w:rsidR="0087790D" w:rsidRPr="0087790D">
              <w:rPr>
                <w:rFonts w:ascii="Times New Roman" w:hAnsi="Times New Roman" w:cs="Times New Roman"/>
                <w:color w:val="000000" w:themeColor="text1"/>
                <w:sz w:val="24"/>
                <w:szCs w:val="24"/>
              </w:rPr>
              <w:t>2026.</w:t>
            </w:r>
            <w:r w:rsidRPr="0087790D">
              <w:rPr>
                <w:rFonts w:ascii="Times New Roman" w:hAnsi="Times New Roman" w:cs="Times New Roman"/>
                <w:color w:val="000000" w:themeColor="text1"/>
                <w:sz w:val="24"/>
                <w:szCs w:val="24"/>
              </w:rPr>
              <w:t xml:space="preserve"> Se adjuntan dos (2) folios de la certificación de la publicación en el Sistema </w:t>
            </w:r>
            <w:proofErr w:type="spellStart"/>
            <w:r w:rsidRPr="0087790D">
              <w:rPr>
                <w:rFonts w:ascii="Times New Roman" w:hAnsi="Times New Roman" w:cs="Times New Roman"/>
                <w:color w:val="000000" w:themeColor="text1"/>
                <w:sz w:val="24"/>
                <w:szCs w:val="24"/>
              </w:rPr>
              <w:t>LegalBog</w:t>
            </w:r>
            <w:proofErr w:type="spellEnd"/>
            <w:r w:rsidR="0087790D" w:rsidRPr="0087790D">
              <w:rPr>
                <w:rFonts w:ascii="Times New Roman" w:hAnsi="Times New Roman" w:cs="Times New Roman"/>
                <w:color w:val="000000" w:themeColor="text1"/>
                <w:sz w:val="24"/>
                <w:szCs w:val="24"/>
              </w:rPr>
              <w:t>, emitida el tres (03) de junio de 2026.</w:t>
            </w:r>
            <w:r w:rsidR="0071131C" w:rsidRPr="0087790D">
              <w:rPr>
                <w:rFonts w:ascii="Times New Roman" w:hAnsi="Times New Roman" w:cs="Times New Roman"/>
                <w:i/>
                <w:color w:val="595959" w:themeColor="text1" w:themeTint="A6"/>
                <w:sz w:val="24"/>
                <w:szCs w:val="24"/>
              </w:rPr>
              <w:t xml:space="preserve"> </w:t>
            </w:r>
          </w:p>
          <w:p w14:paraId="7DE8B82E" w14:textId="693363CF" w:rsidR="0087790D" w:rsidRPr="0087790D" w:rsidRDefault="0087790D" w:rsidP="0087790D">
            <w:pPr>
              <w:jc w:val="both"/>
              <w:rPr>
                <w:rFonts w:ascii="Times New Roman" w:hAnsi="Times New Roman" w:cs="Times New Roman"/>
                <w:color w:val="000000" w:themeColor="text1"/>
                <w:sz w:val="24"/>
                <w:szCs w:val="24"/>
              </w:rPr>
            </w:pPr>
          </w:p>
        </w:tc>
      </w:tr>
      <w:tr w:rsidR="0076649E" w14:paraId="7F0C8A4A" w14:textId="77777777" w:rsidTr="0087790D">
        <w:tc>
          <w:tcPr>
            <w:tcW w:w="3114" w:type="dxa"/>
          </w:tcPr>
          <w:p w14:paraId="5964C83C" w14:textId="07DD4843" w:rsidR="0076649E" w:rsidRDefault="0076649E" w:rsidP="0068537E">
            <w:pPr>
              <w:jc w:val="both"/>
              <w:rPr>
                <w:rFonts w:ascii="Times New Roman" w:hAnsi="Times New Roman" w:cs="Times New Roman"/>
                <w:sz w:val="24"/>
                <w:szCs w:val="24"/>
              </w:rPr>
            </w:pPr>
            <w:r>
              <w:rPr>
                <w:rFonts w:ascii="Times New Roman" w:hAnsi="Times New Roman" w:cs="Times New Roman"/>
                <w:sz w:val="24"/>
                <w:szCs w:val="24"/>
              </w:rPr>
              <w:t>Otro</w:t>
            </w:r>
            <w:r w:rsidR="00687351">
              <w:rPr>
                <w:rFonts w:ascii="Times New Roman" w:hAnsi="Times New Roman" w:cs="Times New Roman"/>
                <w:sz w:val="24"/>
                <w:szCs w:val="24"/>
              </w:rPr>
              <w:t>s documentos que soportan la expedición del acto administrativo</w:t>
            </w:r>
            <w:r w:rsidR="006074E9">
              <w:rPr>
                <w:rFonts w:ascii="Times New Roman" w:hAnsi="Times New Roman" w:cs="Times New Roman"/>
                <w:sz w:val="24"/>
                <w:szCs w:val="24"/>
              </w:rPr>
              <w:t xml:space="preserve"> </w:t>
            </w:r>
          </w:p>
        </w:tc>
        <w:tc>
          <w:tcPr>
            <w:tcW w:w="6956" w:type="dxa"/>
            <w:vAlign w:val="center"/>
          </w:tcPr>
          <w:p w14:paraId="6184AF68" w14:textId="3A4A0F35" w:rsidR="00873829" w:rsidRDefault="00873829" w:rsidP="0087790D">
            <w:pPr>
              <w:jc w:val="center"/>
              <w:rPr>
                <w:rFonts w:ascii="Times New Roman" w:hAnsi="Times New Roman" w:cs="Times New Roman"/>
                <w:i/>
                <w:color w:val="595959" w:themeColor="text1" w:themeTint="A6"/>
                <w:sz w:val="24"/>
                <w:szCs w:val="24"/>
              </w:rPr>
            </w:pPr>
            <w:r w:rsidRPr="00F426B3">
              <w:rPr>
                <w:rFonts w:ascii="Times New Roman" w:hAnsi="Times New Roman" w:cs="Times New Roman"/>
                <w:i/>
                <w:color w:val="000000" w:themeColor="text1"/>
                <w:sz w:val="24"/>
                <w:szCs w:val="24"/>
              </w:rPr>
              <w:t>N. A</w:t>
            </w:r>
          </w:p>
          <w:p w14:paraId="0A627AC5" w14:textId="6599ACD1" w:rsidR="008A1B07" w:rsidRPr="0068537E" w:rsidRDefault="008A1B07" w:rsidP="0087790D">
            <w:pPr>
              <w:jc w:val="center"/>
              <w:rPr>
                <w:rFonts w:ascii="Times New Roman" w:hAnsi="Times New Roman" w:cs="Times New Roman"/>
                <w:i/>
                <w:color w:val="595959" w:themeColor="text1" w:themeTint="A6"/>
                <w:sz w:val="24"/>
                <w:szCs w:val="24"/>
              </w:rPr>
            </w:pPr>
          </w:p>
        </w:tc>
      </w:tr>
      <w:tr w:rsidR="008A1B07" w14:paraId="204F6ADA" w14:textId="77777777" w:rsidTr="00E141C1">
        <w:tc>
          <w:tcPr>
            <w:tcW w:w="3114" w:type="dxa"/>
          </w:tcPr>
          <w:p w14:paraId="774EF27B" w14:textId="1B21237E" w:rsidR="008A1B07" w:rsidRPr="0009764B" w:rsidRDefault="008A1B07" w:rsidP="0068537E">
            <w:pPr>
              <w:jc w:val="both"/>
              <w:rPr>
                <w:rFonts w:ascii="Times New Roman" w:hAnsi="Times New Roman" w:cs="Times New Roman"/>
                <w:sz w:val="24"/>
                <w:szCs w:val="24"/>
              </w:rPr>
            </w:pPr>
            <w:r w:rsidRPr="0009764B">
              <w:rPr>
                <w:rFonts w:ascii="Times New Roman" w:hAnsi="Times New Roman" w:cs="Times New Roman"/>
                <w:sz w:val="24"/>
                <w:szCs w:val="24"/>
              </w:rPr>
              <w:t>Síntesis del acto</w:t>
            </w:r>
            <w:r w:rsidR="00E126CC" w:rsidRPr="0009764B">
              <w:rPr>
                <w:rFonts w:ascii="Times New Roman" w:hAnsi="Times New Roman" w:cs="Times New Roman"/>
                <w:sz w:val="24"/>
                <w:szCs w:val="24"/>
              </w:rPr>
              <w:t xml:space="preserve"> administrativo,</w:t>
            </w:r>
            <w:r w:rsidRPr="0009764B">
              <w:rPr>
                <w:rFonts w:ascii="Times New Roman" w:hAnsi="Times New Roman" w:cs="Times New Roman"/>
                <w:sz w:val="24"/>
                <w:szCs w:val="24"/>
              </w:rPr>
              <w:t xml:space="preserve"> </w:t>
            </w:r>
            <w:r w:rsidR="0087790D" w:rsidRPr="0009764B">
              <w:rPr>
                <w:rFonts w:ascii="Times New Roman" w:hAnsi="Times New Roman" w:cs="Times New Roman"/>
                <w:sz w:val="24"/>
                <w:szCs w:val="24"/>
              </w:rPr>
              <w:t>directiva o</w:t>
            </w:r>
            <w:r w:rsidRPr="0009764B">
              <w:rPr>
                <w:rFonts w:ascii="Times New Roman" w:hAnsi="Times New Roman" w:cs="Times New Roman"/>
                <w:sz w:val="24"/>
                <w:szCs w:val="24"/>
              </w:rPr>
              <w:t xml:space="preserve"> circular </w:t>
            </w:r>
          </w:p>
        </w:tc>
        <w:tc>
          <w:tcPr>
            <w:tcW w:w="6956" w:type="dxa"/>
          </w:tcPr>
          <w:p w14:paraId="5987CA85" w14:textId="77777777" w:rsidR="0087790D" w:rsidRDefault="0087790D" w:rsidP="00687351">
            <w:pPr>
              <w:jc w:val="both"/>
              <w:rPr>
                <w:rFonts w:ascii="Times New Roman" w:eastAsia="Times New Roman" w:hAnsi="Times New Roman" w:cs="Times New Roman"/>
                <w:bCs/>
                <w:i/>
                <w:iCs/>
                <w:sz w:val="25"/>
                <w:szCs w:val="25"/>
                <w:lang w:val="es-ES"/>
              </w:rPr>
            </w:pPr>
          </w:p>
          <w:p w14:paraId="14823CAE" w14:textId="77777777" w:rsidR="008A1B07" w:rsidRDefault="00752163" w:rsidP="00687351">
            <w:pPr>
              <w:jc w:val="both"/>
              <w:rPr>
                <w:rFonts w:ascii="Times New Roman" w:eastAsia="Times New Roman" w:hAnsi="Times New Roman" w:cs="Times New Roman"/>
                <w:bCs/>
                <w:i/>
                <w:iCs/>
                <w:sz w:val="25"/>
                <w:szCs w:val="25"/>
                <w:lang w:val="es-ES"/>
              </w:rPr>
            </w:pPr>
            <w:r>
              <w:rPr>
                <w:rFonts w:ascii="Times New Roman" w:eastAsia="Times New Roman" w:hAnsi="Times New Roman" w:cs="Times New Roman"/>
                <w:bCs/>
                <w:i/>
                <w:iCs/>
                <w:sz w:val="25"/>
                <w:szCs w:val="25"/>
                <w:lang w:val="es-ES"/>
              </w:rPr>
              <w:t>D</w:t>
            </w:r>
            <w:r w:rsidRPr="00FE1899">
              <w:rPr>
                <w:rFonts w:ascii="Times New Roman" w:eastAsia="Times New Roman" w:hAnsi="Times New Roman" w:cs="Times New Roman"/>
                <w:bCs/>
                <w:i/>
                <w:iCs/>
                <w:sz w:val="25"/>
                <w:szCs w:val="25"/>
                <w:lang w:val="es-ES"/>
              </w:rPr>
              <w:t>eroga</w:t>
            </w:r>
            <w:r>
              <w:rPr>
                <w:rFonts w:ascii="Times New Roman" w:eastAsia="Times New Roman" w:hAnsi="Times New Roman" w:cs="Times New Roman"/>
                <w:bCs/>
                <w:i/>
                <w:iCs/>
                <w:sz w:val="25"/>
                <w:szCs w:val="25"/>
                <w:lang w:val="es-ES"/>
              </w:rPr>
              <w:t>toria</w:t>
            </w:r>
            <w:r w:rsidRPr="00FE1899">
              <w:rPr>
                <w:rFonts w:ascii="Times New Roman" w:eastAsia="Times New Roman" w:hAnsi="Times New Roman" w:cs="Times New Roman"/>
                <w:bCs/>
                <w:i/>
                <w:iCs/>
                <w:sz w:val="25"/>
                <w:szCs w:val="25"/>
                <w:lang w:val="es-ES"/>
              </w:rPr>
              <w:t xml:space="preserve"> Resolución Conjunta 182-230 del 1 de marzo de 2013 suscrita entre la Secretaría Distrital de Salud y la Secretaría Distrital de Integración Social</w:t>
            </w:r>
          </w:p>
          <w:p w14:paraId="2AB94316" w14:textId="38F2E6AA" w:rsidR="0087790D" w:rsidRPr="0087790D" w:rsidRDefault="0087790D" w:rsidP="00687351">
            <w:pPr>
              <w:jc w:val="both"/>
              <w:rPr>
                <w:rFonts w:ascii="Times New Roman" w:eastAsia="Times New Roman" w:hAnsi="Times New Roman" w:cs="Times New Roman"/>
                <w:bCs/>
                <w:i/>
                <w:iCs/>
                <w:sz w:val="25"/>
                <w:szCs w:val="25"/>
                <w:lang w:val="es-ES"/>
              </w:rPr>
            </w:pPr>
          </w:p>
        </w:tc>
      </w:tr>
      <w:tr w:rsidR="0068537E" w14:paraId="1B2268CA" w14:textId="77777777" w:rsidTr="00E141C1">
        <w:tc>
          <w:tcPr>
            <w:tcW w:w="3114" w:type="dxa"/>
          </w:tcPr>
          <w:p w14:paraId="1F2237F7" w14:textId="3DC82B1A" w:rsidR="0068537E" w:rsidRDefault="0068537E" w:rsidP="0068537E">
            <w:pPr>
              <w:rPr>
                <w:rFonts w:ascii="Times New Roman" w:hAnsi="Times New Roman" w:cs="Times New Roman"/>
                <w:sz w:val="24"/>
                <w:szCs w:val="24"/>
              </w:rPr>
            </w:pPr>
            <w:r>
              <w:rPr>
                <w:rFonts w:ascii="Times New Roman" w:hAnsi="Times New Roman" w:cs="Times New Roman"/>
                <w:sz w:val="24"/>
                <w:szCs w:val="24"/>
              </w:rPr>
              <w:lastRenderedPageBreak/>
              <w:t>CD</w:t>
            </w:r>
            <w:r w:rsidR="00E126CC">
              <w:rPr>
                <w:rFonts w:ascii="Times New Roman" w:hAnsi="Times New Roman" w:cs="Times New Roman"/>
                <w:sz w:val="24"/>
                <w:szCs w:val="24"/>
              </w:rPr>
              <w:t>,</w:t>
            </w:r>
            <w:r>
              <w:rPr>
                <w:rFonts w:ascii="Times New Roman" w:hAnsi="Times New Roman" w:cs="Times New Roman"/>
                <w:sz w:val="24"/>
                <w:szCs w:val="24"/>
              </w:rPr>
              <w:t xml:space="preserve"> USB </w:t>
            </w:r>
            <w:r w:rsidR="00E126CC">
              <w:rPr>
                <w:rFonts w:ascii="Times New Roman" w:hAnsi="Times New Roman" w:cs="Times New Roman"/>
                <w:sz w:val="24"/>
                <w:szCs w:val="24"/>
              </w:rPr>
              <w:t xml:space="preserve">o radicación electrónica </w:t>
            </w:r>
            <w:r>
              <w:rPr>
                <w:rFonts w:ascii="Times New Roman" w:hAnsi="Times New Roman" w:cs="Times New Roman"/>
                <w:sz w:val="24"/>
                <w:szCs w:val="24"/>
              </w:rPr>
              <w:t>que contiene el proyecto normativo en formato Word</w:t>
            </w:r>
          </w:p>
        </w:tc>
        <w:tc>
          <w:tcPr>
            <w:tcW w:w="6956" w:type="dxa"/>
          </w:tcPr>
          <w:p w14:paraId="68E681B0" w14:textId="77777777" w:rsidR="00752163" w:rsidRPr="0087790D" w:rsidRDefault="00752163" w:rsidP="0009764B">
            <w:pPr>
              <w:jc w:val="both"/>
              <w:rPr>
                <w:rFonts w:ascii="Times New Roman" w:hAnsi="Times New Roman" w:cs="Times New Roman"/>
                <w:i/>
                <w:color w:val="000000" w:themeColor="text1"/>
                <w:sz w:val="24"/>
                <w:szCs w:val="24"/>
              </w:rPr>
            </w:pPr>
          </w:p>
          <w:p w14:paraId="7EC9B49A" w14:textId="139B7605" w:rsidR="0068537E" w:rsidRDefault="0087790D" w:rsidP="0087790D">
            <w:pPr>
              <w:jc w:val="center"/>
              <w:rPr>
                <w:rFonts w:ascii="Times New Roman" w:hAnsi="Times New Roman" w:cs="Times New Roman"/>
                <w:sz w:val="24"/>
                <w:szCs w:val="24"/>
              </w:rPr>
            </w:pPr>
            <w:r w:rsidRPr="0087790D">
              <w:rPr>
                <w:rFonts w:ascii="Times New Roman" w:hAnsi="Times New Roman" w:cs="Times New Roman"/>
                <w:i/>
                <w:color w:val="000000" w:themeColor="text1"/>
                <w:sz w:val="24"/>
                <w:szCs w:val="24"/>
              </w:rPr>
              <w:t>Se realizó radicación electrónica tanto del acto administrativo como de la exposición de motivos.</w:t>
            </w:r>
            <w:r w:rsidR="00E126CC">
              <w:rPr>
                <w:rFonts w:ascii="Times New Roman" w:hAnsi="Times New Roman" w:cs="Times New Roman"/>
                <w:i/>
                <w:color w:val="595959" w:themeColor="text1" w:themeTint="A6"/>
                <w:sz w:val="24"/>
                <w:szCs w:val="24"/>
              </w:rPr>
              <w:t xml:space="preserve"> </w:t>
            </w:r>
          </w:p>
        </w:tc>
      </w:tr>
    </w:tbl>
    <w:p w14:paraId="2A95E4DE" w14:textId="77777777" w:rsidR="00E73278" w:rsidRDefault="00E73278">
      <w:pPr>
        <w:rPr>
          <w:rFonts w:ascii="Times New Roman" w:hAnsi="Times New Roman" w:cs="Times New Roman"/>
          <w:b/>
          <w:sz w:val="24"/>
          <w:szCs w:val="24"/>
        </w:rPr>
      </w:pPr>
      <w:r>
        <w:rPr>
          <w:rFonts w:ascii="Times New Roman" w:hAnsi="Times New Roman" w:cs="Times New Roman"/>
          <w:b/>
          <w:sz w:val="24"/>
          <w:szCs w:val="24"/>
        </w:rPr>
        <w:t>Aprobó</w:t>
      </w:r>
    </w:p>
    <w:p w14:paraId="681314D2" w14:textId="77777777" w:rsidR="00F25375" w:rsidRDefault="00F25375" w:rsidP="00F25375">
      <w:pPr>
        <w:jc w:val="center"/>
        <w:rPr>
          <w:rFonts w:ascii="Times New Roman" w:hAnsi="Times New Roman" w:cs="Times New Roman"/>
          <w:b/>
          <w:sz w:val="24"/>
          <w:szCs w:val="24"/>
        </w:rPr>
      </w:pPr>
    </w:p>
    <w:p w14:paraId="38E82F0F" w14:textId="77777777" w:rsidR="00F25375" w:rsidRDefault="00F25375" w:rsidP="00F25375">
      <w:pPr>
        <w:jc w:val="center"/>
        <w:rPr>
          <w:rFonts w:ascii="Times New Roman" w:hAnsi="Times New Roman" w:cs="Times New Roman"/>
          <w:b/>
          <w:sz w:val="24"/>
          <w:szCs w:val="24"/>
        </w:rPr>
      </w:pPr>
    </w:p>
    <w:p w14:paraId="35537E66" w14:textId="6EAB339E"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 xml:space="preserve">GERSON ORLANDO BERMONT GALAVIS </w:t>
      </w:r>
    </w:p>
    <w:p w14:paraId="5F24CEF8" w14:textId="77777777" w:rsidR="00F25375" w:rsidRPr="00F25375" w:rsidRDefault="00F25375" w:rsidP="00F25375">
      <w:pPr>
        <w:spacing w:after="0"/>
        <w:jc w:val="center"/>
        <w:rPr>
          <w:rFonts w:ascii="Times New Roman" w:hAnsi="Times New Roman" w:cs="Times New Roman"/>
          <w:bCs/>
          <w:sz w:val="24"/>
          <w:szCs w:val="24"/>
        </w:rPr>
      </w:pPr>
      <w:r w:rsidRPr="00F25375">
        <w:rPr>
          <w:rFonts w:ascii="Times New Roman" w:hAnsi="Times New Roman" w:cs="Times New Roman"/>
          <w:bCs/>
          <w:sz w:val="24"/>
          <w:szCs w:val="24"/>
        </w:rPr>
        <w:t>Secretario Distrital de Salud</w:t>
      </w:r>
    </w:p>
    <w:p w14:paraId="2224D79D" w14:textId="77777777" w:rsidR="00F25375" w:rsidRPr="00F25375" w:rsidRDefault="00F25375" w:rsidP="00F25375">
      <w:pPr>
        <w:jc w:val="center"/>
        <w:rPr>
          <w:rFonts w:ascii="Times New Roman" w:hAnsi="Times New Roman" w:cs="Times New Roman"/>
          <w:b/>
          <w:sz w:val="24"/>
          <w:szCs w:val="24"/>
        </w:rPr>
      </w:pPr>
    </w:p>
    <w:p w14:paraId="437349EA" w14:textId="77777777" w:rsidR="00F25375" w:rsidRDefault="00F25375" w:rsidP="00F25375">
      <w:pPr>
        <w:jc w:val="center"/>
        <w:rPr>
          <w:rFonts w:ascii="Times New Roman" w:hAnsi="Times New Roman" w:cs="Times New Roman"/>
          <w:b/>
          <w:sz w:val="24"/>
          <w:szCs w:val="24"/>
        </w:rPr>
      </w:pPr>
    </w:p>
    <w:p w14:paraId="5A21E62B" w14:textId="77777777" w:rsidR="00F25375" w:rsidRPr="00F25375" w:rsidRDefault="00F25375" w:rsidP="00F25375">
      <w:pPr>
        <w:jc w:val="center"/>
        <w:rPr>
          <w:rFonts w:ascii="Times New Roman" w:hAnsi="Times New Roman" w:cs="Times New Roman"/>
          <w:b/>
          <w:sz w:val="24"/>
          <w:szCs w:val="24"/>
        </w:rPr>
      </w:pPr>
    </w:p>
    <w:p w14:paraId="6E6E1D84" w14:textId="77777777"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ROBERTO ANGULO SALAZAR</w:t>
      </w:r>
    </w:p>
    <w:p w14:paraId="116F52A8" w14:textId="77777777" w:rsid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 xml:space="preserve">Secretario Distrital de Integración Social </w:t>
      </w:r>
    </w:p>
    <w:p w14:paraId="0109CC5C" w14:textId="77777777" w:rsidR="00F25375" w:rsidRDefault="00F25375" w:rsidP="00F25375">
      <w:pPr>
        <w:jc w:val="center"/>
        <w:rPr>
          <w:rFonts w:ascii="Times New Roman" w:hAnsi="Times New Roman" w:cs="Times New Roman"/>
          <w:b/>
          <w:sz w:val="24"/>
          <w:szCs w:val="24"/>
        </w:rPr>
      </w:pPr>
    </w:p>
    <w:p w14:paraId="476196E7" w14:textId="77777777" w:rsidR="00F25375" w:rsidRDefault="00F25375" w:rsidP="00F25375">
      <w:pPr>
        <w:jc w:val="center"/>
        <w:rPr>
          <w:rFonts w:ascii="Times New Roman" w:hAnsi="Times New Roman" w:cs="Times New Roman"/>
          <w:b/>
          <w:sz w:val="24"/>
          <w:szCs w:val="24"/>
        </w:rPr>
      </w:pPr>
    </w:p>
    <w:p w14:paraId="58100B44" w14:textId="77777777"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MELISSA TRIANA LUNA</w:t>
      </w:r>
    </w:p>
    <w:p w14:paraId="7A8D069E" w14:textId="77777777"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Jefe de la Oficina de Asuntos Jurídicos</w:t>
      </w:r>
    </w:p>
    <w:p w14:paraId="0F43D037" w14:textId="5C0BFC2C" w:rsidR="00F25375" w:rsidRPr="00F25375" w:rsidRDefault="00FB5FF2" w:rsidP="00F25375">
      <w:pPr>
        <w:spacing w:after="0"/>
        <w:jc w:val="center"/>
        <w:rPr>
          <w:rFonts w:ascii="Times New Roman" w:hAnsi="Times New Roman" w:cs="Times New Roman"/>
          <w:b/>
          <w:sz w:val="24"/>
          <w:szCs w:val="24"/>
        </w:rPr>
      </w:pPr>
      <w:r>
        <w:rPr>
          <w:rFonts w:ascii="Times New Roman" w:hAnsi="Times New Roman" w:cs="Times New Roman"/>
          <w:b/>
          <w:sz w:val="24"/>
          <w:szCs w:val="24"/>
        </w:rPr>
        <w:t>Secretaria</w:t>
      </w:r>
      <w:r w:rsidR="00F25375" w:rsidRPr="00F25375">
        <w:rPr>
          <w:rFonts w:ascii="Times New Roman" w:hAnsi="Times New Roman" w:cs="Times New Roman"/>
          <w:b/>
          <w:sz w:val="24"/>
          <w:szCs w:val="24"/>
        </w:rPr>
        <w:t xml:space="preserve"> Distrital de Salud</w:t>
      </w:r>
    </w:p>
    <w:p w14:paraId="0AFE47AA" w14:textId="77777777" w:rsidR="00F25375" w:rsidRPr="00F25375" w:rsidRDefault="00F25375" w:rsidP="00F25375">
      <w:pPr>
        <w:jc w:val="center"/>
        <w:rPr>
          <w:rFonts w:ascii="Times New Roman" w:hAnsi="Times New Roman" w:cs="Times New Roman"/>
          <w:b/>
          <w:sz w:val="24"/>
          <w:szCs w:val="24"/>
        </w:rPr>
      </w:pPr>
    </w:p>
    <w:p w14:paraId="2780F2F7" w14:textId="77777777" w:rsidR="00F25375" w:rsidRPr="00F25375" w:rsidRDefault="00F25375" w:rsidP="00F25375">
      <w:pPr>
        <w:jc w:val="center"/>
        <w:rPr>
          <w:rFonts w:ascii="Times New Roman" w:hAnsi="Times New Roman" w:cs="Times New Roman"/>
          <w:b/>
          <w:sz w:val="24"/>
          <w:szCs w:val="24"/>
        </w:rPr>
      </w:pPr>
    </w:p>
    <w:p w14:paraId="1D5E5C51" w14:textId="77777777"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LAURA CONTRERAS SALAZAR</w:t>
      </w:r>
    </w:p>
    <w:p w14:paraId="48085B8E" w14:textId="77777777" w:rsidR="00F25375" w:rsidRPr="00F25375"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Jefe de Oficina Jurídica</w:t>
      </w:r>
    </w:p>
    <w:p w14:paraId="75DEDE60" w14:textId="03AD1F0C" w:rsidR="00A36273" w:rsidRDefault="00F25375" w:rsidP="00F25375">
      <w:pPr>
        <w:spacing w:after="0"/>
        <w:jc w:val="center"/>
        <w:rPr>
          <w:rFonts w:ascii="Times New Roman" w:hAnsi="Times New Roman" w:cs="Times New Roman"/>
          <w:b/>
          <w:sz w:val="24"/>
          <w:szCs w:val="24"/>
        </w:rPr>
      </w:pPr>
      <w:r w:rsidRPr="00F25375">
        <w:rPr>
          <w:rFonts w:ascii="Times New Roman" w:hAnsi="Times New Roman" w:cs="Times New Roman"/>
          <w:b/>
          <w:sz w:val="24"/>
          <w:szCs w:val="24"/>
        </w:rPr>
        <w:t>Secretaría Distrital de Integración Social</w:t>
      </w:r>
    </w:p>
    <w:p w14:paraId="445B2426" w14:textId="77777777" w:rsidR="00E562AB" w:rsidRDefault="00E562AB" w:rsidP="00F25375">
      <w:pPr>
        <w:spacing w:after="0"/>
        <w:jc w:val="center"/>
        <w:rPr>
          <w:rFonts w:ascii="Times New Roman" w:hAnsi="Times New Roman" w:cs="Times New Roman"/>
          <w:b/>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513"/>
      </w:tblGrid>
      <w:tr w:rsidR="0068537E" w14:paraId="0C773C58" w14:textId="77777777" w:rsidTr="0068537E">
        <w:tc>
          <w:tcPr>
            <w:tcW w:w="1413" w:type="dxa"/>
          </w:tcPr>
          <w:p w14:paraId="58E670A5" w14:textId="77777777" w:rsidR="0068537E" w:rsidRPr="007C0BFE" w:rsidRDefault="0068537E" w:rsidP="0068537E">
            <w:pPr>
              <w:rPr>
                <w:rFonts w:ascii="Times New Roman" w:hAnsi="Times New Roman" w:cs="Times New Roman"/>
                <w:sz w:val="18"/>
              </w:rPr>
            </w:pPr>
            <w:r w:rsidRPr="007C0BFE">
              <w:rPr>
                <w:rFonts w:ascii="Times New Roman" w:hAnsi="Times New Roman" w:cs="Times New Roman"/>
                <w:sz w:val="18"/>
              </w:rPr>
              <w:t>Elaboró:</w:t>
            </w:r>
          </w:p>
        </w:tc>
        <w:tc>
          <w:tcPr>
            <w:tcW w:w="7513" w:type="dxa"/>
          </w:tcPr>
          <w:p w14:paraId="25504D70" w14:textId="77777777" w:rsidR="00F25375" w:rsidRPr="00F25375" w:rsidRDefault="00F25375" w:rsidP="00F25375">
            <w:pPr>
              <w:rPr>
                <w:rFonts w:ascii="Times New Roman" w:hAnsi="Times New Roman" w:cs="Times New Roman"/>
                <w:sz w:val="18"/>
                <w:szCs w:val="18"/>
              </w:rPr>
            </w:pPr>
            <w:r w:rsidRPr="00F25375">
              <w:rPr>
                <w:rFonts w:ascii="Times New Roman" w:hAnsi="Times New Roman" w:cs="Times New Roman"/>
                <w:sz w:val="18"/>
                <w:szCs w:val="18"/>
              </w:rPr>
              <w:t>Sonia Gigliola Corchuelo/ Profesional en Ingeniería Ambiental Contratista – Subdirección de Vigilancia en Salud Pública</w:t>
            </w:r>
          </w:p>
          <w:p w14:paraId="1B7C5936" w14:textId="5FF95CB1" w:rsidR="00F25375" w:rsidRPr="0068537E" w:rsidRDefault="00F25375" w:rsidP="00FB5FF2">
            <w:pPr>
              <w:rPr>
                <w:rFonts w:ascii="Times New Roman" w:hAnsi="Times New Roman" w:cs="Times New Roman"/>
                <w:color w:val="595959" w:themeColor="text1" w:themeTint="A6"/>
                <w:sz w:val="18"/>
                <w:szCs w:val="18"/>
              </w:rPr>
            </w:pPr>
          </w:p>
        </w:tc>
      </w:tr>
      <w:tr w:rsidR="0068537E" w14:paraId="4D5C5467" w14:textId="77777777" w:rsidTr="0068537E">
        <w:tc>
          <w:tcPr>
            <w:tcW w:w="1413" w:type="dxa"/>
          </w:tcPr>
          <w:p w14:paraId="5552B9A2" w14:textId="77777777" w:rsidR="0068537E" w:rsidRPr="007C0BFE" w:rsidRDefault="0068537E" w:rsidP="0068537E">
            <w:pPr>
              <w:rPr>
                <w:rFonts w:ascii="Times New Roman" w:hAnsi="Times New Roman" w:cs="Times New Roman"/>
                <w:sz w:val="18"/>
              </w:rPr>
            </w:pPr>
            <w:r w:rsidRPr="007C0BFE">
              <w:rPr>
                <w:rFonts w:ascii="Times New Roman" w:hAnsi="Times New Roman" w:cs="Times New Roman"/>
                <w:sz w:val="18"/>
              </w:rPr>
              <w:t xml:space="preserve">Revisó: </w:t>
            </w:r>
          </w:p>
        </w:tc>
        <w:tc>
          <w:tcPr>
            <w:tcW w:w="7513" w:type="dxa"/>
          </w:tcPr>
          <w:p w14:paraId="01AFB167" w14:textId="77777777" w:rsidR="00F25375" w:rsidRPr="00F25375" w:rsidRDefault="00F25375" w:rsidP="00F25375">
            <w:pPr>
              <w:rPr>
                <w:rFonts w:ascii="Times New Roman" w:hAnsi="Times New Roman" w:cs="Times New Roman"/>
                <w:sz w:val="18"/>
                <w:szCs w:val="18"/>
              </w:rPr>
            </w:pPr>
            <w:r w:rsidRPr="00F25375">
              <w:rPr>
                <w:rFonts w:ascii="Times New Roman" w:hAnsi="Times New Roman" w:cs="Times New Roman"/>
                <w:sz w:val="18"/>
                <w:szCs w:val="18"/>
              </w:rPr>
              <w:t>Jimmy Sandoval – Oficina de Asuntos Jurídicos</w:t>
            </w:r>
          </w:p>
          <w:p w14:paraId="25858251" w14:textId="55AC0633" w:rsidR="0068537E" w:rsidRDefault="00F25375" w:rsidP="00F25375">
            <w:pPr>
              <w:rPr>
                <w:rFonts w:ascii="Times New Roman" w:hAnsi="Times New Roman" w:cs="Times New Roman"/>
                <w:sz w:val="18"/>
                <w:szCs w:val="18"/>
              </w:rPr>
            </w:pPr>
            <w:r w:rsidRPr="00F25375">
              <w:rPr>
                <w:rFonts w:ascii="Times New Roman" w:hAnsi="Times New Roman" w:cs="Times New Roman"/>
                <w:sz w:val="18"/>
                <w:szCs w:val="18"/>
              </w:rPr>
              <w:t>Nicolás Quintero – Subdirección de Vigilancia en Salud Pública</w:t>
            </w:r>
          </w:p>
          <w:p w14:paraId="3D223094" w14:textId="1B0D2498" w:rsidR="00F25375" w:rsidRDefault="00FB5FF2" w:rsidP="00FB5FF2">
            <w:pPr>
              <w:rPr>
                <w:rFonts w:ascii="Times New Roman" w:hAnsi="Times New Roman" w:cs="Times New Roman"/>
                <w:sz w:val="18"/>
                <w:szCs w:val="18"/>
              </w:rPr>
            </w:pPr>
            <w:r w:rsidRPr="00F25375">
              <w:rPr>
                <w:rFonts w:ascii="Times New Roman" w:hAnsi="Times New Roman" w:cs="Times New Roman"/>
                <w:sz w:val="18"/>
                <w:szCs w:val="18"/>
              </w:rPr>
              <w:t>Libia J. Ramírez Garzón –</w:t>
            </w:r>
            <w:r>
              <w:rPr>
                <w:rFonts w:ascii="Times New Roman" w:hAnsi="Times New Roman" w:cs="Times New Roman"/>
                <w:sz w:val="18"/>
                <w:szCs w:val="18"/>
              </w:rPr>
              <w:t xml:space="preserve"> </w:t>
            </w:r>
            <w:r w:rsidRPr="00F25375">
              <w:rPr>
                <w:rFonts w:ascii="Times New Roman" w:hAnsi="Times New Roman" w:cs="Times New Roman"/>
                <w:sz w:val="18"/>
                <w:szCs w:val="18"/>
              </w:rPr>
              <w:t>Subdirección de Vigilancia en Salud Pública</w:t>
            </w:r>
          </w:p>
          <w:p w14:paraId="14BDB884" w14:textId="79B558F2" w:rsidR="00FB5FF2" w:rsidRPr="007C0BFE" w:rsidRDefault="00FB5FF2" w:rsidP="00FB5FF2">
            <w:pPr>
              <w:rPr>
                <w:rFonts w:ascii="Times New Roman" w:hAnsi="Times New Roman" w:cs="Times New Roman"/>
                <w:sz w:val="18"/>
                <w:szCs w:val="18"/>
              </w:rPr>
            </w:pPr>
          </w:p>
        </w:tc>
      </w:tr>
      <w:tr w:rsidR="0068537E" w14:paraId="39309D4D" w14:textId="77777777" w:rsidTr="0068537E">
        <w:tc>
          <w:tcPr>
            <w:tcW w:w="1413" w:type="dxa"/>
          </w:tcPr>
          <w:p w14:paraId="6A1ED2F3" w14:textId="77777777" w:rsidR="0068537E" w:rsidRPr="007C0BFE" w:rsidRDefault="0068537E" w:rsidP="0068537E">
            <w:pPr>
              <w:rPr>
                <w:rFonts w:ascii="Times New Roman" w:hAnsi="Times New Roman" w:cs="Times New Roman"/>
                <w:sz w:val="18"/>
              </w:rPr>
            </w:pPr>
            <w:r w:rsidRPr="007C0BFE">
              <w:rPr>
                <w:rFonts w:ascii="Times New Roman" w:hAnsi="Times New Roman" w:cs="Times New Roman"/>
                <w:sz w:val="18"/>
              </w:rPr>
              <w:t>Aprobó:</w:t>
            </w:r>
          </w:p>
        </w:tc>
        <w:tc>
          <w:tcPr>
            <w:tcW w:w="7513" w:type="dxa"/>
          </w:tcPr>
          <w:p w14:paraId="571C745F" w14:textId="16E83830" w:rsidR="00F25375" w:rsidRPr="00F25375" w:rsidRDefault="00FB5FF2" w:rsidP="00F25375">
            <w:pPr>
              <w:rPr>
                <w:rFonts w:ascii="Times New Roman" w:hAnsi="Times New Roman" w:cs="Times New Roman"/>
                <w:sz w:val="18"/>
                <w:szCs w:val="18"/>
              </w:rPr>
            </w:pPr>
            <w:r>
              <w:rPr>
                <w:rFonts w:ascii="Times New Roman" w:hAnsi="Times New Roman" w:cs="Times New Roman"/>
                <w:sz w:val="18"/>
                <w:szCs w:val="18"/>
              </w:rPr>
              <w:t>Dian Marcela Walteros</w:t>
            </w:r>
            <w:r w:rsidR="00F25375" w:rsidRPr="00F25375">
              <w:rPr>
                <w:rFonts w:ascii="Times New Roman" w:hAnsi="Times New Roman" w:cs="Times New Roman"/>
                <w:sz w:val="18"/>
                <w:szCs w:val="18"/>
              </w:rPr>
              <w:t xml:space="preserve"> – Subdirectora</w:t>
            </w:r>
            <w:r>
              <w:rPr>
                <w:rFonts w:ascii="Times New Roman" w:hAnsi="Times New Roman" w:cs="Times New Roman"/>
                <w:sz w:val="18"/>
                <w:szCs w:val="18"/>
              </w:rPr>
              <w:t xml:space="preserve"> de Vigilancia en Salud Pública</w:t>
            </w:r>
          </w:p>
          <w:p w14:paraId="79A9504D" w14:textId="4D850194" w:rsidR="00F25375" w:rsidRPr="00F25375" w:rsidRDefault="00F25375" w:rsidP="00F25375">
            <w:pPr>
              <w:rPr>
                <w:rFonts w:ascii="Times New Roman" w:hAnsi="Times New Roman" w:cs="Times New Roman"/>
                <w:sz w:val="18"/>
                <w:szCs w:val="18"/>
              </w:rPr>
            </w:pPr>
            <w:r w:rsidRPr="00F25375">
              <w:rPr>
                <w:rFonts w:ascii="Times New Roman" w:hAnsi="Times New Roman" w:cs="Times New Roman"/>
                <w:sz w:val="18"/>
                <w:szCs w:val="18"/>
              </w:rPr>
              <w:t>Julián Alfredo Fernández Niño – Subsecretario de Salud Pública</w:t>
            </w:r>
          </w:p>
          <w:p w14:paraId="10B2DF63" w14:textId="029A5AB8" w:rsidR="0068537E" w:rsidRPr="007C0BFE" w:rsidRDefault="00F25375" w:rsidP="00F25375">
            <w:pPr>
              <w:rPr>
                <w:rFonts w:ascii="Times New Roman" w:hAnsi="Times New Roman" w:cs="Times New Roman"/>
                <w:sz w:val="18"/>
                <w:szCs w:val="18"/>
              </w:rPr>
            </w:pPr>
            <w:r w:rsidRPr="00F25375">
              <w:rPr>
                <w:rFonts w:ascii="Times New Roman" w:hAnsi="Times New Roman" w:cs="Times New Roman"/>
                <w:sz w:val="18"/>
                <w:szCs w:val="18"/>
              </w:rPr>
              <w:t>Melissa Triana Luna – Jefe de Oficina de Asuntos Jurídicos de la Secretaría Distrital de Salud</w:t>
            </w:r>
          </w:p>
        </w:tc>
      </w:tr>
    </w:tbl>
    <w:p w14:paraId="19FBF71E" w14:textId="3C8FA66D" w:rsidR="00194216" w:rsidRDefault="00194216" w:rsidP="00E562AB">
      <w:pPr>
        <w:rPr>
          <w:rFonts w:ascii="Times New Roman" w:hAnsi="Times New Roman" w:cs="Times New Roman"/>
          <w:b/>
          <w:sz w:val="24"/>
          <w:szCs w:val="24"/>
        </w:rPr>
      </w:pPr>
    </w:p>
    <w:sectPr w:rsidR="00194216" w:rsidSect="00693195">
      <w:footerReference w:type="default" r:id="rId9"/>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8E22" w14:textId="77777777" w:rsidR="00326556" w:rsidRDefault="00326556" w:rsidP="00693195">
      <w:pPr>
        <w:spacing w:after="0" w:line="240" w:lineRule="auto"/>
      </w:pPr>
      <w:r>
        <w:separator/>
      </w:r>
    </w:p>
  </w:endnote>
  <w:endnote w:type="continuationSeparator" w:id="0">
    <w:p w14:paraId="01E248D4" w14:textId="77777777" w:rsidR="00326556" w:rsidRDefault="00326556" w:rsidP="0069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573462"/>
      <w:docPartObj>
        <w:docPartGallery w:val="Page Numbers (Bottom of Page)"/>
        <w:docPartUnique/>
      </w:docPartObj>
    </w:sdtPr>
    <w:sdtContent>
      <w:p w14:paraId="145AF395" w14:textId="002A4BB8" w:rsidR="007A5AB2" w:rsidRDefault="0068537E" w:rsidP="007A5AB2">
        <w:pPr>
          <w:pStyle w:val="Piedepgina"/>
          <w:jc w:val="right"/>
        </w:pPr>
        <w:r>
          <w:fldChar w:fldCharType="begin"/>
        </w:r>
        <w:r>
          <w:instrText>PAGE   \* MERGEFORMAT</w:instrText>
        </w:r>
        <w:r>
          <w:fldChar w:fldCharType="separate"/>
        </w:r>
        <w:r w:rsidR="00FB5FF2" w:rsidRPr="00FB5FF2">
          <w:rPr>
            <w:noProof/>
            <w:lang w:val="es-ES"/>
          </w:rPr>
          <w:t>4</w:t>
        </w:r>
        <w:r>
          <w:fldChar w:fldCharType="end"/>
        </w:r>
      </w:p>
    </w:sdtContent>
  </w:sdt>
  <w:p w14:paraId="4583D21D" w14:textId="2899A622" w:rsidR="0068537E" w:rsidRPr="007A5AB2" w:rsidRDefault="007A5AB2" w:rsidP="007946D0">
    <w:pPr>
      <w:pStyle w:val="Piedepgina"/>
      <w:jc w:val="center"/>
      <w:rPr>
        <w:rFonts w:ascii="Arial" w:hAnsi="Arial" w:cs="Arial"/>
        <w:b/>
        <w:bCs/>
        <w:sz w:val="18"/>
        <w:szCs w:val="18"/>
      </w:rPr>
    </w:pPr>
    <w:r w:rsidRPr="00381227">
      <w:rPr>
        <w:rFonts w:ascii="Arial" w:hAnsi="Arial" w:cs="Arial"/>
        <w:b/>
        <w:bCs/>
        <w:sz w:val="18"/>
        <w:szCs w:val="18"/>
      </w:rPr>
      <w:t>CLASIFICACIÓN DE LA INFORMACIÓN: PÚBLICA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BD9E" w14:textId="77777777" w:rsidR="00326556" w:rsidRDefault="00326556" w:rsidP="00693195">
      <w:pPr>
        <w:spacing w:after="0" w:line="240" w:lineRule="auto"/>
      </w:pPr>
      <w:r>
        <w:separator/>
      </w:r>
    </w:p>
  </w:footnote>
  <w:footnote w:type="continuationSeparator" w:id="0">
    <w:p w14:paraId="562207A5" w14:textId="77777777" w:rsidR="00326556" w:rsidRDefault="00326556" w:rsidP="006931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C190B"/>
    <w:multiLevelType w:val="hybridMultilevel"/>
    <w:tmpl w:val="20C22E6A"/>
    <w:lvl w:ilvl="0" w:tplc="EAB82F50">
      <w:start w:val="1"/>
      <w:numFmt w:val="decimal"/>
      <w:lvlText w:val="%1."/>
      <w:lvlJc w:val="left"/>
      <w:pPr>
        <w:ind w:left="720" w:hanging="360"/>
      </w:pPr>
      <w:rPr>
        <w:rFonts w:hint="default"/>
        <w:color w:val="808080" w:themeColor="background1" w:themeShade="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6F92F85"/>
    <w:multiLevelType w:val="hybridMultilevel"/>
    <w:tmpl w:val="B0C881DA"/>
    <w:lvl w:ilvl="0" w:tplc="24C2A242">
      <w:start w:val="1"/>
      <w:numFmt w:val="bullet"/>
      <w:lvlText w:val=""/>
      <w:lvlJc w:val="left"/>
      <w:pPr>
        <w:ind w:left="720" w:hanging="360"/>
      </w:pPr>
      <w:rPr>
        <w:rFonts w:ascii="Symbol" w:hAnsi="Symbol" w:hint="default"/>
        <w:color w:val="595959" w:themeColor="text1" w:themeTint="A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D553795"/>
    <w:multiLevelType w:val="hybridMultilevel"/>
    <w:tmpl w:val="C6A67018"/>
    <w:lvl w:ilvl="0" w:tplc="8F2AC3DE">
      <w:start w:val="1"/>
      <w:numFmt w:val="bullet"/>
      <w:lvlText w:val="-"/>
      <w:lvlJc w:val="left"/>
      <w:pPr>
        <w:ind w:left="720" w:hanging="360"/>
      </w:pPr>
      <w:rPr>
        <w:rFonts w:ascii="Times New Roman" w:eastAsiaTheme="minorHAnsi" w:hAnsi="Times New Roman" w:cs="Times New Roman"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7247CDF"/>
    <w:multiLevelType w:val="hybridMultilevel"/>
    <w:tmpl w:val="C7105392"/>
    <w:lvl w:ilvl="0" w:tplc="EEFE1966">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13746329">
    <w:abstractNumId w:val="0"/>
  </w:num>
  <w:num w:numId="2" w16cid:durableId="623580535">
    <w:abstractNumId w:val="1"/>
  </w:num>
  <w:num w:numId="3" w16cid:durableId="1994018841">
    <w:abstractNumId w:val="2"/>
  </w:num>
  <w:num w:numId="4" w16cid:durableId="634456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195"/>
    <w:rsid w:val="000257DC"/>
    <w:rsid w:val="00035B61"/>
    <w:rsid w:val="0005328E"/>
    <w:rsid w:val="0006315B"/>
    <w:rsid w:val="00067C3F"/>
    <w:rsid w:val="00072A5F"/>
    <w:rsid w:val="00083747"/>
    <w:rsid w:val="0009764B"/>
    <w:rsid w:val="000E54FF"/>
    <w:rsid w:val="000F2CEB"/>
    <w:rsid w:val="000F4E02"/>
    <w:rsid w:val="000F54EA"/>
    <w:rsid w:val="00113D09"/>
    <w:rsid w:val="00147738"/>
    <w:rsid w:val="00194216"/>
    <w:rsid w:val="00196708"/>
    <w:rsid w:val="001D5541"/>
    <w:rsid w:val="001E637F"/>
    <w:rsid w:val="001F424D"/>
    <w:rsid w:val="002A5D1F"/>
    <w:rsid w:val="002C55FF"/>
    <w:rsid w:val="002E1625"/>
    <w:rsid w:val="002F06F2"/>
    <w:rsid w:val="002F5FCA"/>
    <w:rsid w:val="00326556"/>
    <w:rsid w:val="003A7E0E"/>
    <w:rsid w:val="003D0891"/>
    <w:rsid w:val="003E49FD"/>
    <w:rsid w:val="003E5BED"/>
    <w:rsid w:val="0049485B"/>
    <w:rsid w:val="00494930"/>
    <w:rsid w:val="0049566D"/>
    <w:rsid w:val="004979E6"/>
    <w:rsid w:val="004A23A1"/>
    <w:rsid w:val="004B07CC"/>
    <w:rsid w:val="004C0BC7"/>
    <w:rsid w:val="004D6025"/>
    <w:rsid w:val="004E4247"/>
    <w:rsid w:val="005015FC"/>
    <w:rsid w:val="0051447B"/>
    <w:rsid w:val="005303C9"/>
    <w:rsid w:val="00531C8B"/>
    <w:rsid w:val="005700F1"/>
    <w:rsid w:val="00573DE6"/>
    <w:rsid w:val="00573FB6"/>
    <w:rsid w:val="00585E78"/>
    <w:rsid w:val="005969AF"/>
    <w:rsid w:val="005F4CB0"/>
    <w:rsid w:val="006074E9"/>
    <w:rsid w:val="00616BF9"/>
    <w:rsid w:val="00622F43"/>
    <w:rsid w:val="0063175F"/>
    <w:rsid w:val="006320C1"/>
    <w:rsid w:val="0063653F"/>
    <w:rsid w:val="0067116F"/>
    <w:rsid w:val="0068537E"/>
    <w:rsid w:val="00685A31"/>
    <w:rsid w:val="00687351"/>
    <w:rsid w:val="00691CF5"/>
    <w:rsid w:val="00693195"/>
    <w:rsid w:val="006964A4"/>
    <w:rsid w:val="006B3533"/>
    <w:rsid w:val="0071131C"/>
    <w:rsid w:val="00711FF6"/>
    <w:rsid w:val="00724DB4"/>
    <w:rsid w:val="00752163"/>
    <w:rsid w:val="0076649E"/>
    <w:rsid w:val="00781014"/>
    <w:rsid w:val="007946D0"/>
    <w:rsid w:val="007970D9"/>
    <w:rsid w:val="007A5AB2"/>
    <w:rsid w:val="007C234E"/>
    <w:rsid w:val="007D4C2F"/>
    <w:rsid w:val="008074A8"/>
    <w:rsid w:val="0081158E"/>
    <w:rsid w:val="00815927"/>
    <w:rsid w:val="0082626C"/>
    <w:rsid w:val="008263BF"/>
    <w:rsid w:val="00837B24"/>
    <w:rsid w:val="00853B0F"/>
    <w:rsid w:val="00873829"/>
    <w:rsid w:val="0087790D"/>
    <w:rsid w:val="008A1B07"/>
    <w:rsid w:val="009003C5"/>
    <w:rsid w:val="00955A73"/>
    <w:rsid w:val="009B073B"/>
    <w:rsid w:val="00A30A1D"/>
    <w:rsid w:val="00A3611C"/>
    <w:rsid w:val="00A36273"/>
    <w:rsid w:val="00A641CD"/>
    <w:rsid w:val="00A8663E"/>
    <w:rsid w:val="00AB7EE6"/>
    <w:rsid w:val="00AC2260"/>
    <w:rsid w:val="00AF5A41"/>
    <w:rsid w:val="00B1003A"/>
    <w:rsid w:val="00B13959"/>
    <w:rsid w:val="00B13DBF"/>
    <w:rsid w:val="00B52BA3"/>
    <w:rsid w:val="00B73BF7"/>
    <w:rsid w:val="00B83727"/>
    <w:rsid w:val="00BB302A"/>
    <w:rsid w:val="00BB3667"/>
    <w:rsid w:val="00C3120E"/>
    <w:rsid w:val="00C93D20"/>
    <w:rsid w:val="00CB18E8"/>
    <w:rsid w:val="00CB2798"/>
    <w:rsid w:val="00CB38B6"/>
    <w:rsid w:val="00CC63A6"/>
    <w:rsid w:val="00CE18A7"/>
    <w:rsid w:val="00CE6013"/>
    <w:rsid w:val="00CF02BA"/>
    <w:rsid w:val="00CF2ED1"/>
    <w:rsid w:val="00D062E4"/>
    <w:rsid w:val="00D14D24"/>
    <w:rsid w:val="00D35ADA"/>
    <w:rsid w:val="00D36107"/>
    <w:rsid w:val="00D72F69"/>
    <w:rsid w:val="00D91B3F"/>
    <w:rsid w:val="00D922E3"/>
    <w:rsid w:val="00DA158B"/>
    <w:rsid w:val="00DF552D"/>
    <w:rsid w:val="00DF613E"/>
    <w:rsid w:val="00E0130E"/>
    <w:rsid w:val="00E126CC"/>
    <w:rsid w:val="00E141C1"/>
    <w:rsid w:val="00E5111A"/>
    <w:rsid w:val="00E54AB8"/>
    <w:rsid w:val="00E562AB"/>
    <w:rsid w:val="00E5798E"/>
    <w:rsid w:val="00E73278"/>
    <w:rsid w:val="00E73611"/>
    <w:rsid w:val="00EB2ED3"/>
    <w:rsid w:val="00EB6A80"/>
    <w:rsid w:val="00EC4D65"/>
    <w:rsid w:val="00F022BF"/>
    <w:rsid w:val="00F15635"/>
    <w:rsid w:val="00F25375"/>
    <w:rsid w:val="00F56E2B"/>
    <w:rsid w:val="00F70D76"/>
    <w:rsid w:val="00F70F3E"/>
    <w:rsid w:val="00FA15C4"/>
    <w:rsid w:val="00FB5FF2"/>
    <w:rsid w:val="00FE04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8B1B2"/>
  <w15:chartTrackingRefBased/>
  <w15:docId w15:val="{FDEDD04D-A81F-4F59-ACFD-9FB58138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93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931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93195"/>
  </w:style>
  <w:style w:type="paragraph" w:styleId="Piedepgina">
    <w:name w:val="footer"/>
    <w:basedOn w:val="Normal"/>
    <w:link w:val="PiedepginaCar"/>
    <w:uiPriority w:val="99"/>
    <w:unhideWhenUsed/>
    <w:rsid w:val="006931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93195"/>
  </w:style>
  <w:style w:type="paragraph" w:styleId="Prrafodelista">
    <w:name w:val="List Paragraph"/>
    <w:basedOn w:val="Normal"/>
    <w:uiPriority w:val="34"/>
    <w:qFormat/>
    <w:rsid w:val="00A641CD"/>
    <w:pPr>
      <w:ind w:left="720"/>
      <w:contextualSpacing/>
    </w:pPr>
  </w:style>
  <w:style w:type="paragraph" w:styleId="Revisin">
    <w:name w:val="Revision"/>
    <w:hidden/>
    <w:uiPriority w:val="99"/>
    <w:semiHidden/>
    <w:rsid w:val="0049485B"/>
    <w:pPr>
      <w:spacing w:after="0" w:line="240" w:lineRule="auto"/>
    </w:pPr>
  </w:style>
  <w:style w:type="character" w:styleId="Refdecomentario">
    <w:name w:val="annotation reference"/>
    <w:basedOn w:val="Fuentedeprrafopredeter"/>
    <w:uiPriority w:val="99"/>
    <w:semiHidden/>
    <w:unhideWhenUsed/>
    <w:rsid w:val="005303C9"/>
    <w:rPr>
      <w:sz w:val="16"/>
      <w:szCs w:val="16"/>
    </w:rPr>
  </w:style>
  <w:style w:type="paragraph" w:styleId="Textocomentario">
    <w:name w:val="annotation text"/>
    <w:basedOn w:val="Normal"/>
    <w:link w:val="TextocomentarioCar"/>
    <w:uiPriority w:val="99"/>
    <w:unhideWhenUsed/>
    <w:rsid w:val="005303C9"/>
    <w:pPr>
      <w:spacing w:line="240" w:lineRule="auto"/>
    </w:pPr>
    <w:rPr>
      <w:sz w:val="20"/>
      <w:szCs w:val="20"/>
    </w:rPr>
  </w:style>
  <w:style w:type="character" w:customStyle="1" w:styleId="TextocomentarioCar">
    <w:name w:val="Texto comentario Car"/>
    <w:basedOn w:val="Fuentedeprrafopredeter"/>
    <w:link w:val="Textocomentario"/>
    <w:uiPriority w:val="99"/>
    <w:rsid w:val="005303C9"/>
    <w:rPr>
      <w:sz w:val="20"/>
      <w:szCs w:val="20"/>
    </w:rPr>
  </w:style>
  <w:style w:type="paragraph" w:styleId="Asuntodelcomentario">
    <w:name w:val="annotation subject"/>
    <w:basedOn w:val="Textocomentario"/>
    <w:next w:val="Textocomentario"/>
    <w:link w:val="AsuntodelcomentarioCar"/>
    <w:uiPriority w:val="99"/>
    <w:semiHidden/>
    <w:unhideWhenUsed/>
    <w:rsid w:val="005303C9"/>
    <w:rPr>
      <w:b/>
      <w:bCs/>
    </w:rPr>
  </w:style>
  <w:style w:type="character" w:customStyle="1" w:styleId="AsuntodelcomentarioCar">
    <w:name w:val="Asunto del comentario Car"/>
    <w:basedOn w:val="TextocomentarioCar"/>
    <w:link w:val="Asuntodelcomentario"/>
    <w:uiPriority w:val="99"/>
    <w:semiHidden/>
    <w:rsid w:val="005303C9"/>
    <w:rPr>
      <w:b/>
      <w:bCs/>
      <w:sz w:val="20"/>
      <w:szCs w:val="20"/>
    </w:rPr>
  </w:style>
  <w:style w:type="paragraph" w:styleId="Textodeglobo">
    <w:name w:val="Balloon Text"/>
    <w:basedOn w:val="Normal"/>
    <w:link w:val="TextodegloboCar"/>
    <w:uiPriority w:val="99"/>
    <w:semiHidden/>
    <w:unhideWhenUsed/>
    <w:rsid w:val="005303C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03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640F7-AA08-47C0-81AC-B3748A08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3489</Words>
  <Characters>19191</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Paola Aragon Castiblanco</dc:creator>
  <cp:keywords/>
  <dc:description/>
  <cp:lastModifiedBy>Sonia Gigliola, Corchuelo Parra</cp:lastModifiedBy>
  <cp:revision>2</cp:revision>
  <cp:lastPrinted>2026-06-05T16:17:00Z</cp:lastPrinted>
  <dcterms:created xsi:type="dcterms:W3CDTF">2026-06-22T03:28:00Z</dcterms:created>
  <dcterms:modified xsi:type="dcterms:W3CDTF">2026-06-22T03:28:00Z</dcterms:modified>
</cp:coreProperties>
</file>